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PROYECTO DE LEY ESTATUTARIA NO.   </w:t>
      </w:r>
      <w:r>
        <w:rPr>
          <w:rFonts w:ascii="Times New Roman" w:eastAsia="Times New Roman" w:hAnsi="Times New Roman" w:cs="Times New Roman"/>
          <w:b/>
          <w:sz w:val="24"/>
          <w:szCs w:val="24"/>
        </w:rPr>
        <w:tab/>
        <w:t>DE 2019</w:t>
      </w:r>
    </w:p>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“Por medio de la cual se definen mecanismos de participación ciudadana e instrumentos de coordinación y concurrencia entre la nación y los municipios para la concertación de proyectos de exploración y explotación del subsuelo y de Recursos Naturales no Re</w:t>
      </w:r>
      <w:r>
        <w:rPr>
          <w:rFonts w:ascii="Times New Roman" w:eastAsia="Times New Roman" w:hAnsi="Times New Roman" w:cs="Times New Roman"/>
          <w:b/>
          <w:sz w:val="24"/>
          <w:szCs w:val="24"/>
        </w:rPr>
        <w:t>novables”</w:t>
      </w:r>
    </w:p>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 *</w:t>
      </w:r>
    </w:p>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El Congreso de la República de Colombia</w:t>
      </w:r>
    </w:p>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DECRETA</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Pr="00632951"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b/>
          <w:i/>
          <w:sz w:val="24"/>
          <w:szCs w:val="24"/>
        </w:rPr>
        <w:t xml:space="preserve">Objeto. </w:t>
      </w:r>
      <w:r>
        <w:rPr>
          <w:rFonts w:ascii="Times New Roman" w:eastAsia="Times New Roman" w:hAnsi="Times New Roman" w:cs="Times New Roman"/>
          <w:sz w:val="24"/>
          <w:szCs w:val="24"/>
        </w:rPr>
        <w:t>La presente ley tiene por objeto establecer mecanismos de participación ciudadana al interior del sector minero energético y establecer, a través del principio de con</w:t>
      </w:r>
      <w:r>
        <w:rPr>
          <w:rFonts w:ascii="Times New Roman" w:eastAsia="Times New Roman" w:hAnsi="Times New Roman" w:cs="Times New Roman"/>
          <w:sz w:val="24"/>
          <w:szCs w:val="24"/>
        </w:rPr>
        <w:t>certación, los instrumentos de coordinación y concurrencia entre la nación y los municipios para la realización de actividades de exploración y explotación de recursos naturales no renovables en los municipios.</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b/>
          <w:i/>
          <w:sz w:val="24"/>
          <w:szCs w:val="24"/>
        </w:rPr>
        <w:t xml:space="preserve">Ámbito de aplicación. </w:t>
      </w:r>
      <w:r>
        <w:rPr>
          <w:rFonts w:ascii="Times New Roman" w:eastAsia="Times New Roman" w:hAnsi="Times New Roman" w:cs="Times New Roman"/>
          <w:sz w:val="24"/>
          <w:szCs w:val="24"/>
        </w:rPr>
        <w:t>La presen</w:t>
      </w:r>
      <w:r>
        <w:rPr>
          <w:rFonts w:ascii="Times New Roman" w:eastAsia="Times New Roman" w:hAnsi="Times New Roman" w:cs="Times New Roman"/>
          <w:sz w:val="24"/>
          <w:szCs w:val="24"/>
        </w:rPr>
        <w:t>te ley regirá en todo el territorio nacional, en donde no se encuentren áreas excluidas o con restricciones de exploración y explotación de recursos naturales no renovables.</w:t>
      </w:r>
    </w:p>
    <w:p w:rsidR="00D53093" w:rsidRPr="00632951" w:rsidRDefault="002331E2">
      <w:pPr>
        <w:spacing w:before="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Definiciones: </w:t>
      </w:r>
      <w:r>
        <w:rPr>
          <w:rFonts w:ascii="Times New Roman" w:eastAsia="Times New Roman" w:hAnsi="Times New Roman" w:cs="Times New Roman"/>
          <w:sz w:val="24"/>
          <w:szCs w:val="24"/>
        </w:rPr>
        <w:t>Para la aplicación de la presente Ley, se debe conside</w:t>
      </w:r>
      <w:r>
        <w:rPr>
          <w:rFonts w:ascii="Times New Roman" w:eastAsia="Times New Roman" w:hAnsi="Times New Roman" w:cs="Times New Roman"/>
          <w:sz w:val="24"/>
          <w:szCs w:val="24"/>
        </w:rPr>
        <w:t>rar las siguientes definiciones:</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Coordinación:</w:t>
      </w:r>
      <w:r>
        <w:rPr>
          <w:rFonts w:ascii="Times New Roman" w:eastAsia="Times New Roman" w:hAnsi="Times New Roman" w:cs="Times New Roman"/>
          <w:sz w:val="24"/>
          <w:szCs w:val="24"/>
        </w:rPr>
        <w:t xml:space="preserve"> Es la exigencia de la ordenación sistemática, coherente, eficiente y armónica de las actuaciones de los órganos estatales en todos los niveles territoriales para el logro de los fines del Estado</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oncurrenc</w:t>
      </w:r>
      <w:r>
        <w:rPr>
          <w:rFonts w:ascii="Times New Roman" w:eastAsia="Times New Roman" w:hAnsi="Times New Roman" w:cs="Times New Roman"/>
          <w:b/>
          <w:sz w:val="24"/>
          <w:szCs w:val="24"/>
        </w:rPr>
        <w:t>ia:</w:t>
      </w:r>
      <w:r>
        <w:rPr>
          <w:rFonts w:ascii="Times New Roman" w:eastAsia="Times New Roman" w:hAnsi="Times New Roman" w:cs="Times New Roman"/>
          <w:sz w:val="24"/>
          <w:szCs w:val="24"/>
        </w:rPr>
        <w:t xml:space="preserve"> Es la exigencia de la participación conjunta de los distintos niveles territoriales, cuando las instancias con menos cobertura sean insuficientes o incapaces de ejercerlas por sí solas, o cuando el asunto en cuestión trasciende el interés exclusivament</w:t>
      </w:r>
      <w:r>
        <w:rPr>
          <w:rFonts w:ascii="Times New Roman" w:eastAsia="Times New Roman" w:hAnsi="Times New Roman" w:cs="Times New Roman"/>
          <w:sz w:val="24"/>
          <w:szCs w:val="24"/>
        </w:rPr>
        <w:t>e local o regional</w:t>
      </w:r>
    </w:p>
    <w:p w:rsidR="00D53093" w:rsidRPr="00632951"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Subsidiariedad:</w:t>
      </w:r>
      <w:r>
        <w:rPr>
          <w:rFonts w:ascii="Times New Roman" w:eastAsia="Times New Roman" w:hAnsi="Times New Roman" w:cs="Times New Roman"/>
          <w:sz w:val="24"/>
          <w:szCs w:val="24"/>
        </w:rPr>
        <w:t xml:space="preserve"> Es la exigencia que los niveles territoriales que más abarcan competencias asuman o apoyen, según el caso, de manera idónea y eficaz, las competencias y funciones de los demás niveles, cuando a partir de criterios objet</w:t>
      </w:r>
      <w:r>
        <w:rPr>
          <w:rFonts w:ascii="Times New Roman" w:eastAsia="Times New Roman" w:hAnsi="Times New Roman" w:cs="Times New Roman"/>
          <w:sz w:val="24"/>
          <w:szCs w:val="24"/>
        </w:rPr>
        <w:t>ivos carecen de la capacidad administrativa, institucional o presupuestal para ejercerlas adecuadamente.</w:t>
      </w:r>
    </w:p>
    <w:p w:rsidR="00D53093" w:rsidRDefault="002331E2">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Concertación: </w:t>
      </w:r>
      <w:r>
        <w:rPr>
          <w:rFonts w:ascii="Times New Roman" w:eastAsia="Times New Roman" w:hAnsi="Times New Roman" w:cs="Times New Roman"/>
          <w:sz w:val="24"/>
          <w:szCs w:val="24"/>
        </w:rPr>
        <w:t xml:space="preserve">Es el procedimiento mediante el cual se garantizan los principios de </w:t>
      </w:r>
      <w:r w:rsidR="00192CD5">
        <w:rPr>
          <w:rFonts w:ascii="Times New Roman" w:eastAsia="Times New Roman" w:hAnsi="Times New Roman" w:cs="Times New Roman"/>
          <w:sz w:val="24"/>
          <w:szCs w:val="24"/>
        </w:rPr>
        <w:t>coordinación, concurrencia</w:t>
      </w:r>
      <w:r>
        <w:rPr>
          <w:rFonts w:ascii="Times New Roman" w:eastAsia="Times New Roman" w:hAnsi="Times New Roman" w:cs="Times New Roman"/>
          <w:sz w:val="24"/>
          <w:szCs w:val="24"/>
        </w:rPr>
        <w:t xml:space="preserve"> y subsidiariedad para lograr un acuerdo</w:t>
      </w:r>
      <w:r>
        <w:rPr>
          <w:rFonts w:ascii="Times New Roman" w:eastAsia="Times New Roman" w:hAnsi="Times New Roman" w:cs="Times New Roman"/>
          <w:sz w:val="24"/>
          <w:szCs w:val="24"/>
        </w:rPr>
        <w:t xml:space="preserve"> entre la nación y los municipios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 relación al desarrollo de actividades de exploración y explotación de recursos naturales no renovables.</w:t>
      </w:r>
      <w:r>
        <w:rPr>
          <w:rFonts w:ascii="Times New Roman" w:eastAsia="Times New Roman" w:hAnsi="Times New Roman" w:cs="Times New Roman"/>
          <w:b/>
          <w:sz w:val="24"/>
          <w:szCs w:val="24"/>
        </w:rPr>
        <w:t xml:space="preserve"> </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D53093" w:rsidRPr="00632951"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b/>
          <w:i/>
          <w:sz w:val="24"/>
          <w:szCs w:val="24"/>
        </w:rPr>
        <w:t>Principios.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Para la interpretación de la presente Ley, se deberán aplicar los principios de Particip</w:t>
      </w:r>
      <w:r>
        <w:rPr>
          <w:rFonts w:ascii="Times New Roman" w:eastAsia="Times New Roman" w:hAnsi="Times New Roman" w:cs="Times New Roman"/>
          <w:sz w:val="24"/>
          <w:szCs w:val="24"/>
        </w:rPr>
        <w:t>ación Ciudadana y Pluralidad; Coordinación Concurrencia y Subsidiariedad nación territorio, Inexistencia de poder de veto; Diferencialidad y Gradualidad; Enfoque Territorial; Legitimidad y Representatividad; Información previa, permanente, clara y suficien</w:t>
      </w:r>
      <w:r>
        <w:rPr>
          <w:rFonts w:ascii="Times New Roman" w:eastAsia="Times New Roman" w:hAnsi="Times New Roman" w:cs="Times New Roman"/>
          <w:sz w:val="24"/>
          <w:szCs w:val="24"/>
        </w:rPr>
        <w:t>te; Desarrollo Sostenible; Respeto, protección y garantía de los Derechos Humanos; Buena Fe; Coordinación y fortalecimiento de la capacidad institucional; y Sostenibilidad Fiscal.</w:t>
      </w:r>
      <w:bookmarkStart w:id="0" w:name="_19ylwala12h1" w:colFirst="0" w:colLast="0"/>
      <w:bookmarkEnd w:id="0"/>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rtículo 3. </w:t>
      </w:r>
      <w:r>
        <w:rPr>
          <w:rFonts w:ascii="Times New Roman" w:eastAsia="Times New Roman" w:hAnsi="Times New Roman" w:cs="Times New Roman"/>
          <w:b/>
          <w:i/>
          <w:sz w:val="24"/>
          <w:szCs w:val="24"/>
        </w:rPr>
        <w:t>Mecanismos de participación.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Créase</w:t>
      </w:r>
      <w:r>
        <w:rPr>
          <w:rFonts w:ascii="Times New Roman" w:eastAsia="Times New Roman" w:hAnsi="Times New Roman" w:cs="Times New Roman"/>
          <w:sz w:val="24"/>
          <w:szCs w:val="24"/>
        </w:rPr>
        <w:t xml:space="preserve"> al interior del procedimiento para el otorgamiento de contratos de concesión, los títulos, y demás autorizaciones mineras o de hidrocarburos, o sus equivalentes, los siguientes mecanismos de participación, sin perjuicio de aquellos contemplados en la Cons</w:t>
      </w:r>
      <w:r>
        <w:rPr>
          <w:rFonts w:ascii="Times New Roman" w:eastAsia="Times New Roman" w:hAnsi="Times New Roman" w:cs="Times New Roman"/>
          <w:sz w:val="24"/>
          <w:szCs w:val="24"/>
        </w:rPr>
        <w:t>titución Política de Colombia y la legislación nacional:</w:t>
      </w:r>
    </w:p>
    <w:p w:rsidR="00D53093" w:rsidRDefault="002331E2" w:rsidP="00632951">
      <w:pPr>
        <w:spacing w:before="24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ab/>
        <w:t>Audiencia Pública de Recursos Naturales No Renovables: El Ministerio de Minas y Energía, con el apoyo de  la Agencia Nacional de Minería, la Agencia Nacional de Hidrocarburos y de las demás a</w:t>
      </w:r>
      <w:r>
        <w:rPr>
          <w:rFonts w:ascii="Times New Roman" w:eastAsia="Times New Roman" w:hAnsi="Times New Roman" w:cs="Times New Roman"/>
          <w:sz w:val="24"/>
          <w:szCs w:val="24"/>
        </w:rPr>
        <w:t>utoridades del orden nacional del sector minero y de energía, deberá garantizar la realización de  las Audiencias Públicas de Recursos Naturales No Renovables cuando se desarrolle o pretenda desarrollar actividades de exploración y explotación del subsuelo</w:t>
      </w:r>
      <w:r>
        <w:rPr>
          <w:rFonts w:ascii="Times New Roman" w:eastAsia="Times New Roman" w:hAnsi="Times New Roman" w:cs="Times New Roman"/>
          <w:sz w:val="24"/>
          <w:szCs w:val="24"/>
        </w:rPr>
        <w:t xml:space="preserve"> y de recursos naturales no renovables y se presente una solicitud para la convocatoria de la audiencia. Esta audiencia tendrá carácter público y se celebrará dentro del territorio del municipio donde se pretende realizar el proyecto y ante la autoridad co</w:t>
      </w:r>
      <w:r>
        <w:rPr>
          <w:rFonts w:ascii="Times New Roman" w:eastAsia="Times New Roman" w:hAnsi="Times New Roman" w:cs="Times New Roman"/>
          <w:sz w:val="24"/>
          <w:szCs w:val="24"/>
        </w:rPr>
        <w:t xml:space="preserve">mpetente para el otorgamiento del título minero o de hidrocarburos, o los contratos de concesión según el caso. Esta audiencia podrá ser solicitada por un grupo no inferior </w:t>
      </w:r>
      <w:r w:rsidR="00192CD5">
        <w:rPr>
          <w:rFonts w:ascii="Times New Roman" w:eastAsia="Times New Roman" w:hAnsi="Times New Roman" w:cs="Times New Roman"/>
          <w:sz w:val="24"/>
          <w:szCs w:val="24"/>
        </w:rPr>
        <w:t>a cien</w:t>
      </w:r>
      <w:r>
        <w:rPr>
          <w:rFonts w:ascii="Times New Roman" w:eastAsia="Times New Roman" w:hAnsi="Times New Roman" w:cs="Times New Roman"/>
          <w:sz w:val="24"/>
          <w:szCs w:val="24"/>
        </w:rPr>
        <w:t xml:space="preserve"> (100) ciudadanos inscritos en el respectivo censo electoral del </w:t>
      </w:r>
      <w:r w:rsidR="00192CD5">
        <w:rPr>
          <w:rFonts w:ascii="Times New Roman" w:eastAsia="Times New Roman" w:hAnsi="Times New Roman" w:cs="Times New Roman"/>
          <w:sz w:val="24"/>
          <w:szCs w:val="24"/>
        </w:rPr>
        <w:t>municipio; por</w:t>
      </w:r>
      <w:r>
        <w:rPr>
          <w:rFonts w:ascii="Times New Roman" w:eastAsia="Times New Roman" w:hAnsi="Times New Roman" w:cs="Times New Roman"/>
          <w:sz w:val="24"/>
          <w:szCs w:val="24"/>
        </w:rPr>
        <w:t xml:space="preserve"> las autoridades locales, municipales, departamentales y regionales; por la Procuraduría General de la Nación, la Defensoría del Pueblo y demás entes de control; por </w:t>
      </w:r>
      <w:r w:rsidR="00192CD5">
        <w:rPr>
          <w:rFonts w:ascii="Times New Roman" w:eastAsia="Times New Roman" w:hAnsi="Times New Roman" w:cs="Times New Roman"/>
          <w:sz w:val="24"/>
          <w:szCs w:val="24"/>
        </w:rPr>
        <w:t>los Ministerios</w:t>
      </w:r>
      <w:r>
        <w:rPr>
          <w:rFonts w:ascii="Times New Roman" w:eastAsia="Times New Roman" w:hAnsi="Times New Roman" w:cs="Times New Roman"/>
          <w:sz w:val="24"/>
          <w:szCs w:val="24"/>
        </w:rPr>
        <w:t xml:space="preserve"> y demás autoridades del orden nacional; o de por lo menos tres (3) en</w:t>
      </w:r>
      <w:r>
        <w:rPr>
          <w:rFonts w:ascii="Times New Roman" w:eastAsia="Times New Roman" w:hAnsi="Times New Roman" w:cs="Times New Roman"/>
          <w:sz w:val="24"/>
          <w:szCs w:val="24"/>
        </w:rPr>
        <w:t>tidades sin ánimo de lucro u organizaciones no gubernamentales.</w:t>
      </w:r>
      <w:bookmarkStart w:id="1" w:name="_f288x3dcqvn3" w:colFirst="0" w:colLast="0"/>
      <w:bookmarkEnd w:id="1"/>
    </w:p>
    <w:p w:rsidR="00D53093" w:rsidRDefault="002331E2" w:rsidP="00632951">
      <w:pPr>
        <w:spacing w:before="240"/>
        <w:ind w:left="357"/>
        <w:jc w:val="both"/>
        <w:rPr>
          <w:rFonts w:ascii="Times New Roman" w:eastAsia="Times New Roman" w:hAnsi="Times New Roman" w:cs="Times New Roman"/>
          <w:sz w:val="24"/>
          <w:szCs w:val="24"/>
        </w:rPr>
      </w:pPr>
      <w:bookmarkStart w:id="2" w:name="_h4njo2d7rqi" w:colFirst="0" w:colLast="0"/>
      <w:bookmarkEnd w:id="2"/>
      <w:r>
        <w:rPr>
          <w:rFonts w:ascii="Times New Roman" w:eastAsia="Times New Roman" w:hAnsi="Times New Roman" w:cs="Times New Roman"/>
          <w:sz w:val="24"/>
          <w:szCs w:val="24"/>
        </w:rPr>
        <w:t>La audiencia de que trata el presente artículo se celebrará con anticipación a la inscripción en el registro minero nacional o su equivalente en el sector de hidrocarburos.</w:t>
      </w:r>
    </w:p>
    <w:p w:rsidR="00D53093" w:rsidRDefault="002331E2">
      <w:pPr>
        <w:spacing w:before="24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audiencia pública será convocada mediante edicto con una anticipación de por lo menos treinta (30) días a la toma de la decisión a debatir, por la autoridad administrativa ante la cual se solicita. El edicto comunicará la fecha, lugar y hora de celebrac</w:t>
      </w:r>
      <w:r>
        <w:rPr>
          <w:rFonts w:ascii="Times New Roman" w:eastAsia="Times New Roman" w:hAnsi="Times New Roman" w:cs="Times New Roman"/>
          <w:sz w:val="24"/>
          <w:szCs w:val="24"/>
        </w:rPr>
        <w:t>ión y el objeto de la audiencia. Será presidida por el jefe de la entidad competente o su delegado. El edicto permanecerá fijado en secretaría durante los treinta (30) días previos a la fecha de la audiencia y deberá ser publicado en un diario de circulaci</w:t>
      </w:r>
      <w:r>
        <w:rPr>
          <w:rFonts w:ascii="Times New Roman" w:eastAsia="Times New Roman" w:hAnsi="Times New Roman" w:cs="Times New Roman"/>
          <w:sz w:val="24"/>
          <w:szCs w:val="24"/>
        </w:rPr>
        <w:t>ón nacional y en el Boletín de la respectiva entidad, con por lo menos diez (10) días de anticipación.</w:t>
      </w:r>
    </w:p>
    <w:p w:rsidR="00D53093" w:rsidRDefault="002331E2">
      <w:pPr>
        <w:spacing w:before="24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la audiencia pública podrá intervenir un representante de los peticionarios, los interesados, las autoridades competentes, expertos y entidades sin </w:t>
      </w:r>
      <w:r>
        <w:rPr>
          <w:rFonts w:ascii="Times New Roman" w:eastAsia="Times New Roman" w:hAnsi="Times New Roman" w:cs="Times New Roman"/>
          <w:sz w:val="24"/>
          <w:szCs w:val="24"/>
        </w:rPr>
        <w:t>ánimo de lucro y organizaciones no gubernamentales que hayan registrado con anterioridad escritos pertinentes al debate, y de la misma se levantará un acta. En la audiencia podrán recibirse información y pruebas que se consideren conducentes. La decisión a</w:t>
      </w:r>
      <w:r>
        <w:rPr>
          <w:rFonts w:ascii="Times New Roman" w:eastAsia="Times New Roman" w:hAnsi="Times New Roman" w:cs="Times New Roman"/>
          <w:sz w:val="24"/>
          <w:szCs w:val="24"/>
        </w:rPr>
        <w:t>dministrativa deberá ser motivada, teniendo en cuenta las intervenciones y pruebas recogidas durante la audiencia, que deberán tener una incidencia efectiva en la decisión.</w:t>
      </w:r>
    </w:p>
    <w:p w:rsidR="00D53093" w:rsidRDefault="002331E2" w:rsidP="00632951">
      <w:pPr>
        <w:spacing w:before="24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la información relacionada con el procedimiento administrativo de otorgamien</w:t>
      </w:r>
      <w:r>
        <w:rPr>
          <w:rFonts w:ascii="Times New Roman" w:eastAsia="Times New Roman" w:hAnsi="Times New Roman" w:cs="Times New Roman"/>
          <w:sz w:val="24"/>
          <w:szCs w:val="24"/>
        </w:rPr>
        <w:t xml:space="preserve">to del título, contrato o permiso, deberá ser puesta a disposición del público </w:t>
      </w:r>
      <w:r w:rsidR="00192CD5">
        <w:rPr>
          <w:rFonts w:ascii="Times New Roman" w:eastAsia="Times New Roman" w:hAnsi="Times New Roman" w:cs="Times New Roman"/>
          <w:sz w:val="24"/>
          <w:szCs w:val="24"/>
        </w:rPr>
        <w:t>diez (</w:t>
      </w:r>
      <w:r>
        <w:rPr>
          <w:rFonts w:ascii="Times New Roman" w:eastAsia="Times New Roman" w:hAnsi="Times New Roman" w:cs="Times New Roman"/>
          <w:sz w:val="24"/>
          <w:szCs w:val="24"/>
        </w:rPr>
        <w:t>10</w:t>
      </w:r>
      <w:r w:rsidR="00192CD5">
        <w:rPr>
          <w:rFonts w:ascii="Times New Roman" w:eastAsia="Times New Roman" w:hAnsi="Times New Roman" w:cs="Times New Roman"/>
          <w:sz w:val="24"/>
          <w:szCs w:val="24"/>
        </w:rPr>
        <w:t>) días</w:t>
      </w:r>
      <w:r>
        <w:rPr>
          <w:rFonts w:ascii="Times New Roman" w:eastAsia="Times New Roman" w:hAnsi="Times New Roman" w:cs="Times New Roman"/>
          <w:sz w:val="24"/>
          <w:szCs w:val="24"/>
        </w:rPr>
        <w:t xml:space="preserve"> antes de la realización de la audiencia. Dicha información deberá constar en medio digital y ceñirse a las reglas de lenguaje claro. En los eventos que se requi</w:t>
      </w:r>
      <w:r>
        <w:rPr>
          <w:rFonts w:ascii="Times New Roman" w:eastAsia="Times New Roman" w:hAnsi="Times New Roman" w:cs="Times New Roman"/>
          <w:sz w:val="24"/>
          <w:szCs w:val="24"/>
        </w:rPr>
        <w:t xml:space="preserve">era, las entidades podrán cobrar el valor de las copias o trámites necesarios para la obtención de la información.  </w:t>
      </w:r>
    </w:p>
    <w:p w:rsidR="00D53093" w:rsidRDefault="002331E2" w:rsidP="00632951">
      <w:pPr>
        <w:spacing w:before="240"/>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Mientras se realiza la audiencia será suspendido el procedimiento administrativo.</w:t>
      </w:r>
    </w:p>
    <w:p w:rsidR="00D53093" w:rsidRDefault="002331E2" w:rsidP="00632951">
      <w:pPr>
        <w:spacing w:before="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ab/>
        <w:t>Derecho de petición especial: toda persona natur</w:t>
      </w:r>
      <w:r>
        <w:rPr>
          <w:rFonts w:ascii="Times New Roman" w:eastAsia="Times New Roman" w:hAnsi="Times New Roman" w:cs="Times New Roman"/>
          <w:sz w:val="24"/>
          <w:szCs w:val="24"/>
        </w:rPr>
        <w:t>al o jurídica tiene derecho a formular directamente petición de información en relación a actividades de exploración y explotación de recursos naturales no renovables. Dicha petición debe ser respondida en 10 días hábiles.</w:t>
      </w:r>
    </w:p>
    <w:p w:rsidR="00D53093" w:rsidRDefault="002331E2" w:rsidP="00632951">
      <w:pPr>
        <w:spacing w:before="24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ab/>
        <w:t>Intervención de terceros:</w:t>
      </w:r>
      <w:r>
        <w:rPr>
          <w:rFonts w:ascii="Times New Roman" w:eastAsia="Times New Roman" w:hAnsi="Times New Roman" w:cs="Times New Roman"/>
          <w:sz w:val="24"/>
          <w:szCs w:val="24"/>
        </w:rPr>
        <w:t xml:space="preserve"> cualquier persona natural o jurídica, pública o privada, sin necesidad de demostrar interés jurídico alguno, podrá intervenir en las actuaciones administrativas que adelanten las entidades del sector minero energético. La constitución como tercero intervi</w:t>
      </w:r>
      <w:r>
        <w:rPr>
          <w:rFonts w:ascii="Times New Roman" w:eastAsia="Times New Roman" w:hAnsi="Times New Roman" w:cs="Times New Roman"/>
          <w:sz w:val="24"/>
          <w:szCs w:val="24"/>
        </w:rPr>
        <w:t>niente permitirá la presentación de documentos, recursos, así como la garantía a ser notificado de toda decisión que sobre el particular se emita.</w:t>
      </w:r>
    </w:p>
    <w:p w:rsidR="00D53093" w:rsidRDefault="002331E2" w:rsidP="00632951">
      <w:pPr>
        <w:spacing w:before="240"/>
        <w:ind w:left="357"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Veedurías ciudadanas: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Durante en el procedimiento para la celebración de contratos o la creación actos a</w:t>
      </w:r>
      <w:r>
        <w:rPr>
          <w:rFonts w:ascii="Times New Roman" w:eastAsia="Times New Roman" w:hAnsi="Times New Roman" w:cs="Times New Roman"/>
          <w:sz w:val="24"/>
          <w:szCs w:val="24"/>
        </w:rPr>
        <w:t>dministrativos relacionados con actividades de exploración y explotación de recursos naturales no renovables, así como durante la ejecución de la actividad, los ciudadanos de forma plural podrán constituir veedurías ciudadanas como mecanismo de participaci</w:t>
      </w:r>
      <w:r>
        <w:rPr>
          <w:rFonts w:ascii="Times New Roman" w:eastAsia="Times New Roman" w:hAnsi="Times New Roman" w:cs="Times New Roman"/>
          <w:sz w:val="24"/>
          <w:szCs w:val="24"/>
        </w:rPr>
        <w:t xml:space="preserve">ón para ejercer vigilancia, fiscalización y evaluación sobre la gestión del titular minero o hidrocarburífero. </w:t>
      </w:r>
      <w:bookmarkStart w:id="3" w:name="_z5udcluh6p4e" w:colFirst="0" w:colLast="0"/>
      <w:bookmarkEnd w:id="3"/>
    </w:p>
    <w:p w:rsidR="00D53093" w:rsidRDefault="002331E2" w:rsidP="00632951">
      <w:pPr>
        <w:spacing w:before="240"/>
        <w:ind w:left="357"/>
        <w:jc w:val="both"/>
        <w:rPr>
          <w:rFonts w:ascii="Times New Roman" w:eastAsia="Times New Roman" w:hAnsi="Times New Roman" w:cs="Times New Roman"/>
          <w:sz w:val="24"/>
          <w:szCs w:val="24"/>
        </w:rPr>
      </w:pPr>
      <w:bookmarkStart w:id="4" w:name="_lsk5k8cibqe8" w:colFirst="0" w:colLast="0"/>
      <w:bookmarkEnd w:id="4"/>
      <w:r>
        <w:rPr>
          <w:rFonts w:ascii="Times New Roman" w:eastAsia="Times New Roman" w:hAnsi="Times New Roman" w:cs="Times New Roman"/>
          <w:sz w:val="24"/>
          <w:szCs w:val="24"/>
        </w:rPr>
        <w:t>En la misma forma operará para ejercer seguimiento y control ciudadano a las decisiones de las autoridades minero energéticas. En ambos casos l</w:t>
      </w:r>
      <w:r>
        <w:rPr>
          <w:rFonts w:ascii="Times New Roman" w:eastAsia="Times New Roman" w:hAnsi="Times New Roman" w:cs="Times New Roman"/>
          <w:sz w:val="24"/>
          <w:szCs w:val="24"/>
        </w:rPr>
        <w:t>a veeduría podrá remitir las irregularidades encontradas a los entes de control con facultades en la materia mediante una Solicitud de Apertura de Investigación. Esta solicitud contará con un trámite expedito y deberá resolverse en un término de quince (15</w:t>
      </w:r>
      <w:r>
        <w:rPr>
          <w:rFonts w:ascii="Times New Roman" w:eastAsia="Times New Roman" w:hAnsi="Times New Roman" w:cs="Times New Roman"/>
          <w:sz w:val="24"/>
          <w:szCs w:val="24"/>
        </w:rPr>
        <w:t xml:space="preserve">) días </w:t>
      </w:r>
      <w:bookmarkStart w:id="5" w:name="_o2gtj116e4vt" w:colFirst="0" w:colLast="0"/>
      <w:bookmarkEnd w:id="5"/>
      <w:r w:rsidR="00192CD5">
        <w:rPr>
          <w:rFonts w:ascii="Times New Roman" w:eastAsia="Times New Roman" w:hAnsi="Times New Roman" w:cs="Times New Roman"/>
          <w:sz w:val="24"/>
          <w:szCs w:val="24"/>
        </w:rPr>
        <w:t>hábiles.</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w:t>
      </w:r>
      <w:r>
        <w:rPr>
          <w:rFonts w:ascii="Times New Roman" w:eastAsia="Times New Roman" w:hAnsi="Times New Roman" w:cs="Times New Roman"/>
          <w:sz w:val="24"/>
          <w:szCs w:val="24"/>
        </w:rPr>
        <w:t>Estos mecanismos de participación ciudadana podrán aplicarse dentro del trámite de cualquier decisión relacionada con la exploración y explotación de recursos naturales no renovables, y la ejecución de los proyectos.</w:t>
      </w:r>
    </w:p>
    <w:p w:rsidR="00D53093" w:rsidRDefault="00D53093">
      <w:pPr>
        <w:spacing w:before="240"/>
        <w:jc w:val="both"/>
        <w:rPr>
          <w:rFonts w:ascii="Times New Roman" w:eastAsia="Times New Roman" w:hAnsi="Times New Roman" w:cs="Times New Roman"/>
          <w:sz w:val="24"/>
          <w:szCs w:val="24"/>
        </w:rPr>
      </w:pPr>
      <w:bookmarkStart w:id="6" w:name="_cf8r7ddqan9m" w:colFirst="0" w:colLast="0"/>
      <w:bookmarkEnd w:id="6"/>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w:t>
      </w:r>
      <w:r>
        <w:rPr>
          <w:rFonts w:ascii="Times New Roman" w:eastAsia="Times New Roman" w:hAnsi="Times New Roman" w:cs="Times New Roman"/>
          <w:b/>
          <w:sz w:val="24"/>
          <w:szCs w:val="24"/>
        </w:rPr>
        <w:t xml:space="preserve">4. </w:t>
      </w:r>
      <w:r>
        <w:rPr>
          <w:rFonts w:ascii="Times New Roman" w:eastAsia="Times New Roman" w:hAnsi="Times New Roman" w:cs="Times New Roman"/>
          <w:b/>
          <w:i/>
          <w:sz w:val="24"/>
          <w:szCs w:val="24"/>
        </w:rPr>
        <w:t>Proceso de concertación general.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La Agencia Nacional de Minería - ANM, la Agencia Nacional de Hidrocarburos - ANH, el Ministerio de Minas y Energía - MME, las autoridades ambientales, la ciudadanía, el alcalde municipal o distrital y el Concejo municipa</w:t>
      </w:r>
      <w:r>
        <w:rPr>
          <w:rFonts w:ascii="Times New Roman" w:eastAsia="Times New Roman" w:hAnsi="Times New Roman" w:cs="Times New Roman"/>
          <w:sz w:val="24"/>
          <w:szCs w:val="24"/>
        </w:rPr>
        <w:t>l o distrital concertarán la identificación de las áreas en las que se proyecte realizar actividades de exploración y explotación de recursos naturales no renovables en su municipio o distrito,  así como las zonas que se pretenda excluir de estas actividad</w:t>
      </w:r>
      <w:r>
        <w:rPr>
          <w:rFonts w:ascii="Times New Roman" w:eastAsia="Times New Roman" w:hAnsi="Times New Roman" w:cs="Times New Roman"/>
          <w:sz w:val="24"/>
          <w:szCs w:val="24"/>
        </w:rPr>
        <w:t>es, las cuales deberán incluirse en el Plan de Ordenamiento Territorial, en los términos del artículo 7 de la presente ley. Estas actividades incluyen la exploración y explotación minera y de hidrocarburos.</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del proceso de concertación los municipi</w:t>
      </w:r>
      <w:r>
        <w:rPr>
          <w:rFonts w:ascii="Times New Roman" w:eastAsia="Times New Roman" w:hAnsi="Times New Roman" w:cs="Times New Roman"/>
          <w:sz w:val="24"/>
          <w:szCs w:val="24"/>
        </w:rPr>
        <w:t>os podrán presentar objeciones ambientales, sociales o económicas en relación a las áreas, las cuales no requerirán sustento técnico.</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Recibidas las objeciones la </w:t>
      </w:r>
      <w:r w:rsidR="00192CD5">
        <w:rPr>
          <w:rFonts w:ascii="Times New Roman" w:eastAsia="Times New Roman" w:hAnsi="Times New Roman" w:cs="Times New Roman"/>
          <w:sz w:val="24"/>
          <w:szCs w:val="24"/>
        </w:rPr>
        <w:t>ANM o</w:t>
      </w:r>
      <w:r>
        <w:rPr>
          <w:rFonts w:ascii="Times New Roman" w:eastAsia="Times New Roman" w:hAnsi="Times New Roman" w:cs="Times New Roman"/>
          <w:sz w:val="24"/>
          <w:szCs w:val="24"/>
        </w:rPr>
        <w:t xml:space="preserve"> la ANH, según el caso, deberán remitirlas</w:t>
      </w:r>
      <w:r>
        <w:rPr>
          <w:rFonts w:ascii="Times New Roman" w:eastAsia="Times New Roman" w:hAnsi="Times New Roman" w:cs="Times New Roman"/>
          <w:sz w:val="24"/>
          <w:szCs w:val="24"/>
        </w:rPr>
        <w:t>, a una universidad pública con acreditación de alta calidad y que cuente con programas afines a la materia de las objeciones, para que emitan un Concepto Interdisciplinario de Viabilidad, en cuya construcción intervengan sus diferentes facultades.  Este c</w:t>
      </w:r>
      <w:r>
        <w:rPr>
          <w:rFonts w:ascii="Times New Roman" w:eastAsia="Times New Roman" w:hAnsi="Times New Roman" w:cs="Times New Roman"/>
          <w:sz w:val="24"/>
          <w:szCs w:val="24"/>
        </w:rPr>
        <w:t>oncepto deberá ser el resultado de un proceso de investigación que evalúe los diferentes riesgos y posibles impactos sociales, ambientales y económicos que conlleve realizar este tipo de actividades en las áreas propuestas, en contraposición con los benefi</w:t>
      </w:r>
      <w:r>
        <w:rPr>
          <w:rFonts w:ascii="Times New Roman" w:eastAsia="Times New Roman" w:hAnsi="Times New Roman" w:cs="Times New Roman"/>
          <w:sz w:val="24"/>
          <w:szCs w:val="24"/>
        </w:rPr>
        <w:t xml:space="preserve">cios económicos esperados. </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Recibido el concepto por parte de las agencias, se realizará dentro del </w:t>
      </w:r>
      <w:r w:rsidR="00192CD5">
        <w:rPr>
          <w:rFonts w:ascii="Times New Roman" w:eastAsia="Times New Roman" w:hAnsi="Times New Roman" w:cs="Times New Roman"/>
          <w:sz w:val="24"/>
          <w:szCs w:val="24"/>
        </w:rPr>
        <w:t>municipio un</w:t>
      </w:r>
      <w:r>
        <w:rPr>
          <w:rFonts w:ascii="Times New Roman" w:eastAsia="Times New Roman" w:hAnsi="Times New Roman" w:cs="Times New Roman"/>
          <w:sz w:val="24"/>
          <w:szCs w:val="24"/>
        </w:rPr>
        <w:t xml:space="preserve"> proceso de diálogo, mediante la instalación de la Mesa de </w:t>
      </w:r>
      <w:r w:rsidR="00192CD5">
        <w:rPr>
          <w:rFonts w:ascii="Times New Roman" w:eastAsia="Times New Roman" w:hAnsi="Times New Roman" w:cs="Times New Roman"/>
          <w:sz w:val="24"/>
          <w:szCs w:val="24"/>
        </w:rPr>
        <w:t>Concertación de</w:t>
      </w:r>
      <w:r>
        <w:rPr>
          <w:rFonts w:ascii="Times New Roman" w:eastAsia="Times New Roman" w:hAnsi="Times New Roman" w:cs="Times New Roman"/>
          <w:sz w:val="24"/>
          <w:szCs w:val="24"/>
        </w:rPr>
        <w:t xml:space="preserve"> Recursos Naturales No Renovables, la cual deberá evaluar el resul</w:t>
      </w:r>
      <w:r>
        <w:rPr>
          <w:rFonts w:ascii="Times New Roman" w:eastAsia="Times New Roman" w:hAnsi="Times New Roman" w:cs="Times New Roman"/>
          <w:sz w:val="24"/>
          <w:szCs w:val="24"/>
        </w:rPr>
        <w:t xml:space="preserve">tado del estudio y establecer la viabilidad o no de adelantar las actividades de exploración y explotación de recursos naturales no renovables en las áreas presentadas por las agencias dentro del respectivo municipio. </w:t>
      </w:r>
      <w:bookmarkStart w:id="7" w:name="_mu6uows5oiud" w:colFirst="0" w:colLast="0"/>
      <w:bookmarkEnd w:id="7"/>
    </w:p>
    <w:p w:rsidR="00D53093" w:rsidRDefault="002331E2">
      <w:pPr>
        <w:spacing w:before="240"/>
        <w:jc w:val="both"/>
        <w:rPr>
          <w:rFonts w:ascii="Times New Roman" w:eastAsia="Times New Roman" w:hAnsi="Times New Roman" w:cs="Times New Roman"/>
          <w:sz w:val="24"/>
          <w:szCs w:val="24"/>
        </w:rPr>
      </w:pPr>
      <w:bookmarkStart w:id="8" w:name="_bh4u7ervmfpr" w:colFirst="0" w:colLast="0"/>
      <w:bookmarkEnd w:id="8"/>
      <w:r>
        <w:rPr>
          <w:rFonts w:ascii="Times New Roman" w:eastAsia="Times New Roman" w:hAnsi="Times New Roman" w:cs="Times New Roman"/>
          <w:sz w:val="24"/>
          <w:szCs w:val="24"/>
        </w:rPr>
        <w:t>Esta Mesa estará conformada por el M</w:t>
      </w:r>
      <w:r>
        <w:rPr>
          <w:rFonts w:ascii="Times New Roman" w:eastAsia="Times New Roman" w:hAnsi="Times New Roman" w:cs="Times New Roman"/>
          <w:sz w:val="24"/>
          <w:szCs w:val="24"/>
        </w:rPr>
        <w:t>inisterio de Minas y Energía; la Agencia Nacional de Minería o la Agencia Nacional de Hidrocarburos, según corresponda; el Ministerio de Medio Ambiente y Desarrollo Sostenible y la Agencia Nacional de Licencias Ambientales; por parte de las entidades del o</w:t>
      </w:r>
      <w:r>
        <w:rPr>
          <w:rFonts w:ascii="Times New Roman" w:eastAsia="Times New Roman" w:hAnsi="Times New Roman" w:cs="Times New Roman"/>
          <w:sz w:val="24"/>
          <w:szCs w:val="24"/>
        </w:rPr>
        <w:t>rden nacional;  del alcalde municipal o distrital, los secretarios municipales o distritales, y por lo menos cinco (5) miembros de los concejos municipales o distritales; por parte de las autoridades municipales; y de tres (3) representantes</w:t>
      </w:r>
      <w:r>
        <w:rPr>
          <w:rFonts w:ascii="Times New Roman" w:eastAsia="Times New Roman" w:hAnsi="Times New Roman" w:cs="Times New Roman"/>
          <w:sz w:val="24"/>
          <w:szCs w:val="24"/>
        </w:rPr>
        <w:t xml:space="preserve"> de la ciudadanía y tres (3) representantes de entidades sin ánimo de lucro u organizaciones no gubernamentales, por parte de la ciudadanía. También participarán la Procuraduría General de la Nación y la Defensoría del Pueblo. Esta mesa sesionará de acuerd</w:t>
      </w:r>
      <w:r>
        <w:rPr>
          <w:rFonts w:ascii="Times New Roman" w:eastAsia="Times New Roman" w:hAnsi="Times New Roman" w:cs="Times New Roman"/>
          <w:sz w:val="24"/>
          <w:szCs w:val="24"/>
        </w:rPr>
        <w:t>o a los principios de la presente ley.</w:t>
      </w:r>
    </w:p>
    <w:p w:rsidR="00D53093" w:rsidRDefault="002331E2">
      <w:pPr>
        <w:spacing w:before="240"/>
        <w:jc w:val="both"/>
        <w:rPr>
          <w:rFonts w:ascii="Times New Roman" w:eastAsia="Times New Roman" w:hAnsi="Times New Roman" w:cs="Times New Roman"/>
          <w:sz w:val="24"/>
          <w:szCs w:val="24"/>
        </w:rPr>
      </w:pPr>
      <w:bookmarkStart w:id="9" w:name="_joqp5el98gn6" w:colFirst="0" w:colLast="0"/>
      <w:bookmarkEnd w:id="9"/>
      <w:r>
        <w:rPr>
          <w:rFonts w:ascii="Times New Roman" w:eastAsia="Times New Roman" w:hAnsi="Times New Roman" w:cs="Times New Roman"/>
          <w:sz w:val="24"/>
          <w:szCs w:val="24"/>
        </w:rPr>
        <w:t>La participación de la ciudadanía y de las autoridades municipales con fundamento en el Concepto Interdisciplinario de Viabilidad deberá tener incidencia real y efectiva en la decisión final, en igualdad de condicione</w:t>
      </w:r>
      <w:r>
        <w:rPr>
          <w:rFonts w:ascii="Times New Roman" w:eastAsia="Times New Roman" w:hAnsi="Times New Roman" w:cs="Times New Roman"/>
          <w:sz w:val="24"/>
          <w:szCs w:val="24"/>
        </w:rPr>
        <w:t>s con las autoridades del orden nacional.</w:t>
      </w:r>
      <w:bookmarkStart w:id="10" w:name="_xkz56gi4jyfy" w:colFirst="0" w:colLast="0"/>
      <w:bookmarkEnd w:id="10"/>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primero.</w:t>
      </w:r>
      <w:r>
        <w:rPr>
          <w:rFonts w:ascii="Times New Roman" w:eastAsia="Times New Roman" w:hAnsi="Times New Roman" w:cs="Times New Roman"/>
          <w:sz w:val="24"/>
          <w:szCs w:val="24"/>
        </w:rPr>
        <w:t xml:space="preserve"> Los recursos requeridos para la investigación y elaboración de los Conceptos Interdisciplinarios de Viabilidad deberán provenir de rubros diferentes a los recursos que cuentan las universidades </w:t>
      </w:r>
      <w:r>
        <w:rPr>
          <w:rFonts w:ascii="Times New Roman" w:eastAsia="Times New Roman" w:hAnsi="Times New Roman" w:cs="Times New Roman"/>
          <w:sz w:val="24"/>
          <w:szCs w:val="24"/>
        </w:rPr>
        <w:t xml:space="preserve">públicas para funcionamiento e inversión. El Gobierno Nacional podrá establecer partidas adicionales dentro del Presupuesto General de la Nación </w:t>
      </w:r>
      <w:r>
        <w:rPr>
          <w:rFonts w:ascii="Times New Roman" w:eastAsia="Times New Roman" w:hAnsi="Times New Roman" w:cs="Times New Roman"/>
          <w:sz w:val="24"/>
          <w:szCs w:val="24"/>
        </w:rPr>
        <w:lastRenderedPageBreak/>
        <w:t>para estos fines. Estos recursos serán administrados por el Ministerio de Minas y Energía en una cuenta especia</w:t>
      </w:r>
      <w:r>
        <w:rPr>
          <w:rFonts w:ascii="Times New Roman" w:eastAsia="Times New Roman" w:hAnsi="Times New Roman" w:cs="Times New Roman"/>
          <w:sz w:val="24"/>
          <w:szCs w:val="24"/>
        </w:rPr>
        <w:t>l, y serán remitidos a la universidad que corresponda con anterioridad a la elaboración del Concepto. Para estos efectos el MME podrá celebrar convenios interadministrativos con las universidades públicas.</w:t>
      </w:r>
      <w:bookmarkStart w:id="11" w:name="_2pyq3eo0jsa" w:colFirst="0" w:colLast="0"/>
      <w:bookmarkEnd w:id="11"/>
    </w:p>
    <w:p w:rsidR="00D53093" w:rsidRDefault="002331E2">
      <w:pPr>
        <w:spacing w:before="240"/>
        <w:jc w:val="both"/>
        <w:rPr>
          <w:rFonts w:ascii="Times New Roman" w:eastAsia="Times New Roman" w:hAnsi="Times New Roman" w:cs="Times New Roman"/>
          <w:sz w:val="24"/>
          <w:szCs w:val="24"/>
        </w:rPr>
      </w:pPr>
      <w:bookmarkStart w:id="12" w:name="_ev48s2tbp03a" w:colFirst="0" w:colLast="0"/>
      <w:bookmarkEnd w:id="12"/>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arágrafo Segundo.</w:t>
      </w:r>
      <w:r>
        <w:rPr>
          <w:rFonts w:ascii="Times New Roman" w:eastAsia="Times New Roman" w:hAnsi="Times New Roman" w:cs="Times New Roman"/>
          <w:sz w:val="24"/>
          <w:szCs w:val="24"/>
        </w:rPr>
        <w:t xml:space="preserve"> Las entidades del Sistema de I</w:t>
      </w:r>
      <w:r>
        <w:rPr>
          <w:rFonts w:ascii="Times New Roman" w:eastAsia="Times New Roman" w:hAnsi="Times New Roman" w:cs="Times New Roman"/>
          <w:sz w:val="24"/>
          <w:szCs w:val="24"/>
        </w:rPr>
        <w:t>nformación Ambiental Colombiano - SIAC, el Instituto Geográfico Agustín Codazzi - IGAC, el Servicio Geológico Colombiano - SGC, y demás entidades públicas de apoyo técnico y científico, o las que realicen investigación social, podrán emitir conceptos en el</w:t>
      </w:r>
      <w:r>
        <w:rPr>
          <w:rFonts w:ascii="Times New Roman" w:eastAsia="Times New Roman" w:hAnsi="Times New Roman" w:cs="Times New Roman"/>
          <w:sz w:val="24"/>
          <w:szCs w:val="24"/>
        </w:rPr>
        <w:t xml:space="preserve"> marco de su competencia, a solicitud de la universidad pública que emita el Concepto Interdisciplinario de Viabilidad. La universidad deberá tener en cuenta los resultados de la Mesa de Trabajo Interinstitucional para la investigación sobre los impactos d</w:t>
      </w:r>
      <w:r>
        <w:rPr>
          <w:rFonts w:ascii="Times New Roman" w:eastAsia="Times New Roman" w:hAnsi="Times New Roman" w:cs="Times New Roman"/>
          <w:sz w:val="24"/>
          <w:szCs w:val="24"/>
        </w:rPr>
        <w:t>e la actividad minera en el territorio colombiano.</w:t>
      </w:r>
      <w:bookmarkStart w:id="13" w:name="_yythfo5mq8ou" w:colFirst="0" w:colLast="0"/>
      <w:bookmarkEnd w:id="13"/>
    </w:p>
    <w:p w:rsidR="00D53093" w:rsidRPr="00632951" w:rsidRDefault="002331E2">
      <w:pPr>
        <w:spacing w:before="240"/>
        <w:jc w:val="both"/>
        <w:rPr>
          <w:rFonts w:ascii="Times New Roman" w:eastAsia="Times New Roman" w:hAnsi="Times New Roman" w:cs="Times New Roman"/>
          <w:b/>
          <w:sz w:val="24"/>
          <w:szCs w:val="24"/>
        </w:rPr>
      </w:pPr>
      <w:bookmarkStart w:id="14" w:name="_agbriphmi3zy" w:colFirst="0" w:colLast="0"/>
      <w:bookmarkEnd w:id="14"/>
      <w:r>
        <w:rPr>
          <w:rFonts w:ascii="Times New Roman" w:eastAsia="Times New Roman" w:hAnsi="Times New Roman" w:cs="Times New Roman"/>
          <w:b/>
          <w:sz w:val="24"/>
          <w:szCs w:val="24"/>
        </w:rPr>
        <w:t xml:space="preserve">Parágrafo Tercero. </w:t>
      </w:r>
      <w:r>
        <w:rPr>
          <w:rFonts w:ascii="Times New Roman" w:eastAsia="Times New Roman" w:hAnsi="Times New Roman" w:cs="Times New Roman"/>
          <w:sz w:val="24"/>
          <w:szCs w:val="24"/>
        </w:rPr>
        <w:t xml:space="preserve"> La ANM o la ANH deberá incluir en la remisión de las objeciones copia de la totalidad de los procedimientos administrativos de </w:t>
      </w:r>
      <w:r w:rsidR="00192CD5">
        <w:rPr>
          <w:rFonts w:ascii="Times New Roman" w:eastAsia="Times New Roman" w:hAnsi="Times New Roman" w:cs="Times New Roman"/>
          <w:sz w:val="24"/>
          <w:szCs w:val="24"/>
        </w:rPr>
        <w:t>la solicitud</w:t>
      </w:r>
      <w:r>
        <w:rPr>
          <w:rFonts w:ascii="Times New Roman" w:eastAsia="Times New Roman" w:hAnsi="Times New Roman" w:cs="Times New Roman"/>
          <w:sz w:val="24"/>
          <w:szCs w:val="24"/>
        </w:rPr>
        <w:t xml:space="preserve"> de títulos y/o contratos para la exploración y explotación de Recursos Naturales No Renovables que existan al mom</w:t>
      </w:r>
      <w:r>
        <w:rPr>
          <w:rFonts w:ascii="Times New Roman" w:eastAsia="Times New Roman" w:hAnsi="Times New Roman" w:cs="Times New Roman"/>
          <w:sz w:val="24"/>
          <w:szCs w:val="24"/>
        </w:rPr>
        <w:t>ento de la remisión, incluyendo los documentos técnicos de soporte.</w:t>
      </w:r>
      <w:bookmarkStart w:id="15" w:name="_sp51la3qgvbz" w:colFirst="0" w:colLast="0"/>
      <w:bookmarkEnd w:id="15"/>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b/>
          <w:i/>
          <w:sz w:val="24"/>
          <w:szCs w:val="24"/>
        </w:rPr>
        <w:t>Proceso de concertación por proyecto</w:t>
      </w:r>
      <w:r>
        <w:rPr>
          <w:rFonts w:ascii="Times New Roman" w:eastAsia="Times New Roman" w:hAnsi="Times New Roman" w:cs="Times New Roman"/>
          <w:sz w:val="24"/>
          <w:szCs w:val="24"/>
        </w:rPr>
        <w:t>. Una vez se inicie un proceso para la celebración de contratos, el otorgamiento de títulos o permisos, o la emisión actos administrativos,</w:t>
      </w:r>
      <w:r>
        <w:rPr>
          <w:rFonts w:ascii="Times New Roman" w:eastAsia="Times New Roman" w:hAnsi="Times New Roman" w:cs="Times New Roman"/>
          <w:sz w:val="24"/>
          <w:szCs w:val="24"/>
        </w:rPr>
        <w:t xml:space="preserve"> relacionados con proyectos de exploración y explotación de recursos naturales no renovables, la Agencia Nacional de Minería o la Agencia Nacional de Hidrocarburos, según corresponda, en conjunto con el Ministerio de Minas y Energía, la ciudadanía, los alc</w:t>
      </w:r>
      <w:r>
        <w:rPr>
          <w:rFonts w:ascii="Times New Roman" w:eastAsia="Times New Roman" w:hAnsi="Times New Roman" w:cs="Times New Roman"/>
          <w:sz w:val="24"/>
          <w:szCs w:val="24"/>
        </w:rPr>
        <w:t>aldes municipales o distritales y la autoridad ambiental competente, concertarán la viabilidad social, ambiental y económica de realizarlas. En todos los casos el proceso de concertación será obligatorio.</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ara la concertación, las agencias notificarán a </w:t>
      </w:r>
      <w:r>
        <w:rPr>
          <w:rFonts w:ascii="Times New Roman" w:eastAsia="Times New Roman" w:hAnsi="Times New Roman" w:cs="Times New Roman"/>
          <w:sz w:val="24"/>
          <w:szCs w:val="24"/>
        </w:rPr>
        <w:t>los municipios de la presentación de solicitudes para el otorgamiento de contratos y autorizaciones de actividades de exploración y explotación de recursos naturales no renovables y remitirán la información con la que cuenten sobre el proyecto.</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Treinta (</w:t>
      </w:r>
      <w:r>
        <w:rPr>
          <w:rFonts w:ascii="Times New Roman" w:eastAsia="Times New Roman" w:hAnsi="Times New Roman" w:cs="Times New Roman"/>
          <w:sz w:val="24"/>
          <w:szCs w:val="24"/>
        </w:rPr>
        <w:t>30) días después de enviada la comunicación, los municipios podrán presentar objeciones ambientales, sociales o económicas ante las agencias en relación con los proyectos, las cuales no requerirán de sustento técnico.</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Pr>
          <w:rFonts w:ascii="Times New Roman" w:eastAsia="Times New Roman" w:hAnsi="Times New Roman" w:cs="Times New Roman"/>
          <w:sz w:val="24"/>
          <w:szCs w:val="24"/>
        </w:rPr>
        <w:t>ecibidas las objeciones de los muni</w:t>
      </w:r>
      <w:r>
        <w:rPr>
          <w:rFonts w:ascii="Times New Roman" w:eastAsia="Times New Roman" w:hAnsi="Times New Roman" w:cs="Times New Roman"/>
          <w:sz w:val="24"/>
          <w:szCs w:val="24"/>
        </w:rPr>
        <w:t>cipios o vencido el término del que habla el anterior inciso, las agencias las remitirán a una universidad pública en los términos del artículo anterior de la presente ley, para que emita el Concepto Interdisciplinario de Viabilidad de los proyectos notifi</w:t>
      </w:r>
      <w:r>
        <w:rPr>
          <w:rFonts w:ascii="Times New Roman" w:eastAsia="Times New Roman" w:hAnsi="Times New Roman" w:cs="Times New Roman"/>
          <w:sz w:val="24"/>
          <w:szCs w:val="24"/>
        </w:rPr>
        <w:t xml:space="preserve">cados. </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Recibido el concepto por parte de las agencias, se realizará en las oficinas del ente territorial un proceso de diálogo, mediante la instalación de la Mesa de Concertación  de Recursos Naturales No Renovables, la cual deberá evaluar el resultado </w:t>
      </w:r>
      <w:r>
        <w:rPr>
          <w:rFonts w:ascii="Times New Roman" w:eastAsia="Times New Roman" w:hAnsi="Times New Roman" w:cs="Times New Roman"/>
          <w:sz w:val="24"/>
          <w:szCs w:val="24"/>
        </w:rPr>
        <w:t xml:space="preserve">del estudio y establecer la viabilidad o no de adelantar las actividades de exploración y explotación de recursos naturales </w:t>
      </w:r>
      <w:r>
        <w:rPr>
          <w:rFonts w:ascii="Times New Roman" w:eastAsia="Times New Roman" w:hAnsi="Times New Roman" w:cs="Times New Roman"/>
          <w:sz w:val="24"/>
          <w:szCs w:val="24"/>
        </w:rPr>
        <w:lastRenderedPageBreak/>
        <w:t>no renovables en las áreas presentadas por las agencias dentro del respectivo municipio, en los términos del artículo 4 de la presen</w:t>
      </w:r>
      <w:r>
        <w:rPr>
          <w:rFonts w:ascii="Times New Roman" w:eastAsia="Times New Roman" w:hAnsi="Times New Roman" w:cs="Times New Roman"/>
          <w:sz w:val="24"/>
          <w:szCs w:val="24"/>
        </w:rPr>
        <w:t xml:space="preserve">te Ley. </w:t>
      </w:r>
    </w:p>
    <w:p w:rsidR="00D53093" w:rsidRPr="00632951"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e ser negativa la decisión se le comunicará al proponente del archivo del procedimiento. De ser positiva la decisión se continuará con el trámite para el otorgamiento del contrato o autorización respectiva.</w:t>
      </w:r>
    </w:p>
    <w:p w:rsidR="00D53093" w:rsidRPr="00632951" w:rsidRDefault="002331E2">
      <w:pPr>
        <w:spacing w:before="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b/>
          <w:i/>
          <w:sz w:val="24"/>
          <w:szCs w:val="24"/>
        </w:rPr>
        <w:t>Adiciónese el artículo</w:t>
      </w:r>
      <w:r>
        <w:rPr>
          <w:rFonts w:ascii="Times New Roman" w:eastAsia="Times New Roman" w:hAnsi="Times New Roman" w:cs="Times New Roman"/>
          <w:b/>
          <w:i/>
          <w:sz w:val="24"/>
          <w:szCs w:val="24"/>
        </w:rPr>
        <w:t xml:space="preserve"> 17- a) a la Ley 388 de 1997, el cual quedará así:</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Artículo 17-a. El componente general del Plan de Ordenamiento Territorial, de los Planes Básicos de Ordenamiento Territorial y de los Esquemas de Ordenamiento Territorial deberá contener la concertación sobre la identificación de las áreas en las que se pr</w:t>
      </w:r>
      <w:r>
        <w:rPr>
          <w:rFonts w:ascii="Times New Roman" w:eastAsia="Times New Roman" w:hAnsi="Times New Roman" w:cs="Times New Roman"/>
          <w:sz w:val="24"/>
          <w:szCs w:val="24"/>
        </w:rPr>
        <w:t>oyecta realizar actividades mineras y de hidrocarburos.</w:t>
      </w:r>
    </w:p>
    <w:p w:rsidR="00D53093" w:rsidRPr="00632951" w:rsidRDefault="002331E2">
      <w:pPr>
        <w:spacing w:before="240"/>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rtículo 7°.</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Adiciónese el numeral 6 al artículo 28 de la Ley 388 de 1997, el cual quedará así:</w:t>
      </w:r>
    </w:p>
    <w:p w:rsidR="00D53093" w:rsidRPr="00632951"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 partir de la entrada en vigencia de la presente ley, los Concejos municipales o distritales, po</w:t>
      </w:r>
      <w:r>
        <w:rPr>
          <w:rFonts w:ascii="Times New Roman" w:eastAsia="Times New Roman" w:hAnsi="Times New Roman" w:cs="Times New Roman"/>
          <w:sz w:val="24"/>
          <w:szCs w:val="24"/>
        </w:rPr>
        <w:t>r iniciativa del alcalde o de la Agencia Nacional de Minería, Agencia Nacional de Hidrocarburos o Ministerio de Minas y Energía, de manera excepcional, podrán revisar y ajustar por una vez los Planes de Ordenamiento Territorial, durante su periodo de vigen</w:t>
      </w:r>
      <w:r>
        <w:rPr>
          <w:rFonts w:ascii="Times New Roman" w:eastAsia="Times New Roman" w:hAnsi="Times New Roman" w:cs="Times New Roman"/>
          <w:sz w:val="24"/>
          <w:szCs w:val="24"/>
        </w:rPr>
        <w:t xml:space="preserve">cia, con el objeto de realizar la concertación minera y de hidrocarburos sobre la identificación de las áreas en las que se proyecta realizar  actividades de exploración y explotación de recursos naturales no renovables en su jurisdicción, así como de las </w:t>
      </w:r>
      <w:r>
        <w:rPr>
          <w:rFonts w:ascii="Times New Roman" w:eastAsia="Times New Roman" w:hAnsi="Times New Roman" w:cs="Times New Roman"/>
          <w:sz w:val="24"/>
          <w:szCs w:val="24"/>
        </w:rPr>
        <w:t>zonas que se pretende excluir de estas actividades.</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8°.</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Vigencia y Derogatorias.</w:t>
      </w:r>
      <w:r>
        <w:rPr>
          <w:rFonts w:ascii="Times New Roman" w:eastAsia="Times New Roman" w:hAnsi="Times New Roman" w:cs="Times New Roman"/>
          <w:sz w:val="24"/>
          <w:szCs w:val="24"/>
        </w:rPr>
        <w:t xml:space="preserve"> La presente ley deroga las disposiciones que le sean contrarias y rige a partir de la fecha de su publicación.</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los Honorables Congresistas </w:t>
      </w:r>
    </w:p>
    <w:p w:rsidR="00D53093" w:rsidRDefault="00D53093">
      <w:pPr>
        <w:spacing w:before="240"/>
        <w:jc w:val="both"/>
        <w:rPr>
          <w:rFonts w:ascii="Times New Roman" w:eastAsia="Times New Roman" w:hAnsi="Times New Roman" w:cs="Times New Roman"/>
          <w:sz w:val="24"/>
          <w:szCs w:val="24"/>
        </w:rPr>
      </w:pPr>
      <w:bookmarkStart w:id="16" w:name="_k54e0fv37u4p" w:colFirst="0" w:colLast="0"/>
      <w:bookmarkEnd w:id="16"/>
    </w:p>
    <w:p w:rsidR="00D53093" w:rsidRDefault="002331E2">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32951" w:rsidRDefault="00632951">
      <w:pPr>
        <w:spacing w:before="240"/>
        <w:jc w:val="both"/>
        <w:rPr>
          <w:rFonts w:ascii="Times New Roman" w:eastAsia="Times New Roman" w:hAnsi="Times New Roman" w:cs="Times New Roman"/>
          <w:sz w:val="24"/>
          <w:szCs w:val="24"/>
        </w:rPr>
      </w:pPr>
    </w:p>
    <w:p w:rsidR="00D53093" w:rsidRDefault="002331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w:t>
      </w:r>
      <w:r>
        <w:rPr>
          <w:rFonts w:ascii="Times New Roman" w:eastAsia="Times New Roman" w:hAnsi="Times New Roman" w:cs="Times New Roman"/>
          <w:b/>
          <w:sz w:val="24"/>
          <w:szCs w:val="24"/>
        </w:rPr>
        <w:t>no Correa</w:t>
      </w:r>
    </w:p>
    <w:p w:rsidR="00D53093" w:rsidRDefault="002331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p>
    <w:p w:rsidR="00D53093" w:rsidRDefault="002331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Alianza Verde</w:t>
      </w:r>
    </w:p>
    <w:p w:rsidR="00D53093" w:rsidRDefault="00D53093">
      <w:pPr>
        <w:jc w:val="both"/>
        <w:rPr>
          <w:rFonts w:ascii="Times New Roman" w:eastAsia="Times New Roman" w:hAnsi="Times New Roman" w:cs="Times New Roman"/>
          <w:sz w:val="24"/>
          <w:szCs w:val="24"/>
        </w:rPr>
      </w:pPr>
    </w:p>
    <w:p w:rsidR="00D53093" w:rsidRDefault="00D53093">
      <w:pPr>
        <w:spacing w:before="240"/>
        <w:jc w:val="both"/>
        <w:rPr>
          <w:rFonts w:ascii="Times New Roman" w:eastAsia="Times New Roman" w:hAnsi="Times New Roman" w:cs="Times New Roman"/>
          <w:sz w:val="24"/>
          <w:szCs w:val="24"/>
        </w:rPr>
      </w:pPr>
      <w:bookmarkStart w:id="17" w:name="_c5bsg7ycmfww" w:colFirst="0" w:colLast="0"/>
      <w:bookmarkEnd w:id="17"/>
    </w:p>
    <w:p w:rsidR="00D53093" w:rsidRDefault="002331E2">
      <w:pPr>
        <w:spacing w:before="240"/>
        <w:jc w:val="both"/>
        <w:rPr>
          <w:rFonts w:ascii="Times New Roman" w:eastAsia="Times New Roman" w:hAnsi="Times New Roman" w:cs="Times New Roman"/>
          <w:sz w:val="24"/>
          <w:szCs w:val="24"/>
        </w:rPr>
      </w:pPr>
      <w:bookmarkStart w:id="18" w:name="_8cnsvcgklyxe" w:colFirst="0" w:colLast="0"/>
      <w:bookmarkEnd w:id="18"/>
      <w:r>
        <w:br w:type="page"/>
      </w:r>
    </w:p>
    <w:p w:rsidR="00D53093" w:rsidRDefault="00D53093">
      <w:pPr>
        <w:spacing w:before="240"/>
        <w:jc w:val="both"/>
        <w:rPr>
          <w:rFonts w:ascii="Times New Roman" w:eastAsia="Times New Roman" w:hAnsi="Times New Roman" w:cs="Times New Roman"/>
          <w:sz w:val="24"/>
          <w:szCs w:val="24"/>
        </w:rPr>
      </w:pPr>
      <w:bookmarkStart w:id="19" w:name="_38a1dft7sn80" w:colFirst="0" w:colLast="0"/>
      <w:bookmarkEnd w:id="19"/>
    </w:p>
    <w:p w:rsidR="00D53093" w:rsidRDefault="002331E2">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EXPOSICIÓN DE MOTIVOS</w:t>
      </w:r>
    </w:p>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“Por medio de la cual definen mecanismos de participación ciudadana e instrumentos de coordinación y concurrencia entre la nación y los municipios para la concertación de proyectos de exploración y explotación de recursos naturales no renovables”</w:t>
      </w:r>
    </w:p>
    <w:p w:rsidR="00D53093" w:rsidRDefault="002331E2">
      <w:pPr>
        <w:spacing w:before="24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 *</w:t>
      </w:r>
    </w:p>
    <w:p w:rsidR="00D53093" w:rsidRDefault="00D53093">
      <w:pPr>
        <w:jc w:val="center"/>
        <w:rPr>
          <w:rFonts w:ascii="Times New Roman" w:eastAsia="Times New Roman" w:hAnsi="Times New Roman" w:cs="Times New Roman"/>
          <w:b/>
          <w:sz w:val="24"/>
          <w:szCs w:val="24"/>
        </w:rPr>
      </w:pPr>
    </w:p>
    <w:p w:rsidR="00D53093" w:rsidRDefault="002331E2" w:rsidP="00632951">
      <w:pPr>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Contexto</w:t>
      </w:r>
    </w:p>
    <w:p w:rsidR="00D53093" w:rsidRDefault="00D53093" w:rsidP="00632951">
      <w:pPr>
        <w:ind w:left="720"/>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Environmental Justice Atlas, Colombia es el segundo país en el ranking mundial de conflictos socio-ambientales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Cada vez son mayores los conflictos por acceso a los recursos naturales a lo largo del territorio nacional ocasionados por diversas causas como la imposición unilateral de una actividad productiva, la autorización de exploración y explotación minera no c</w:t>
      </w:r>
      <w:r>
        <w:rPr>
          <w:rFonts w:ascii="Times New Roman" w:eastAsia="Times New Roman" w:hAnsi="Times New Roman" w:cs="Times New Roman"/>
          <w:sz w:val="24"/>
          <w:szCs w:val="24"/>
        </w:rPr>
        <w:t>oncertada con las autoridades locales, conflictos por el uso de la tierra, conflictos con la industria, problemas con la gestión del agua, construcción de infraestructura, entre otras  actividades, que resultan incompatibles con el uso sostenible del terri</w:t>
      </w:r>
      <w:r>
        <w:rPr>
          <w:rFonts w:ascii="Times New Roman" w:eastAsia="Times New Roman" w:hAnsi="Times New Roman" w:cs="Times New Roman"/>
          <w:sz w:val="24"/>
          <w:szCs w:val="24"/>
        </w:rPr>
        <w:t xml:space="preserve">torio y la conservación de la biodiversidad.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Muchos de estos conflictos se deben a la existencia de tensión de principios constitucionales y de vacíos jurídicos referentes a la forma de dirimir conflictos cuando hay traslape de competencias correspondien</w:t>
      </w:r>
      <w:r>
        <w:rPr>
          <w:rFonts w:ascii="Times New Roman" w:eastAsia="Times New Roman" w:hAnsi="Times New Roman" w:cs="Times New Roman"/>
          <w:sz w:val="24"/>
          <w:szCs w:val="24"/>
        </w:rPr>
        <w:t>tes a las autoridades municipales y competencias propias de las entidades del nivel nacional. En el caso de la minería, concretamente, hay una tensión latente entre dos principios constitucionales. Por un lado, la Constitución Política dispone que “el Esta</w:t>
      </w:r>
      <w:r>
        <w:rPr>
          <w:rFonts w:ascii="Times New Roman" w:eastAsia="Times New Roman" w:hAnsi="Times New Roman" w:cs="Times New Roman"/>
          <w:sz w:val="24"/>
          <w:szCs w:val="24"/>
        </w:rPr>
        <w:t>do es propietario del subsuelo y de los recursos naturales no renovables”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y por otro lado, dispone que al municipio como entidad fundamental de la división político-administrativa corresponde, entre otras funciones, “ordenar el desarrollo de su territorio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Esta última función se materializa según el contenido del artículo 313 de la Constitución, en la facultad que tienen los concejos municipales de “7. Reglamentar los usos del suelo”.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situación se materializa en la práctica en la concesión de títu</w:t>
      </w:r>
      <w:r>
        <w:rPr>
          <w:rFonts w:ascii="Times New Roman" w:eastAsia="Times New Roman" w:hAnsi="Times New Roman" w:cs="Times New Roman"/>
          <w:sz w:val="24"/>
          <w:szCs w:val="24"/>
        </w:rPr>
        <w:t xml:space="preserve">los mineros en zonas en las que los usos del suelo no necesariamente responden a una vocación minera, lo que ha generado el surgimiento de diversos conflictos socio-ambientales a lo largo y ancho del territorio nacional.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Dicho vacío normativo y la falta </w:t>
      </w:r>
      <w:r>
        <w:rPr>
          <w:rFonts w:ascii="Times New Roman" w:eastAsia="Times New Roman" w:hAnsi="Times New Roman" w:cs="Times New Roman"/>
          <w:sz w:val="24"/>
          <w:szCs w:val="24"/>
        </w:rPr>
        <w:t>de espacios e instrumentos eficaces que garanticen la participación de las comunidades se ha traducido en los últimos años en la realización de consultas populares por parte de varios municipios que quieren expresar a partir de un mecanismo de participació</w:t>
      </w:r>
      <w:r>
        <w:rPr>
          <w:rFonts w:ascii="Times New Roman" w:eastAsia="Times New Roman" w:hAnsi="Times New Roman" w:cs="Times New Roman"/>
          <w:sz w:val="24"/>
          <w:szCs w:val="24"/>
        </w:rPr>
        <w:t xml:space="preserve">n su inconformidad con la realización de proyectos mineros y petroleros en su territorio, que se oponen a los usos del suelo que se tienen previstos para el </w:t>
      </w:r>
      <w:r>
        <w:rPr>
          <w:rFonts w:ascii="Times New Roman" w:eastAsia="Times New Roman" w:hAnsi="Times New Roman" w:cs="Times New Roman"/>
          <w:sz w:val="24"/>
          <w:szCs w:val="24"/>
        </w:rPr>
        <w:lastRenderedPageBreak/>
        <w:t>mismo. Se trata de un mecanismo legítimo al que pueden acudir las comunidades en la defensa de su d</w:t>
      </w:r>
      <w:r>
        <w:rPr>
          <w:rFonts w:ascii="Times New Roman" w:eastAsia="Times New Roman" w:hAnsi="Times New Roman" w:cs="Times New Roman"/>
          <w:sz w:val="24"/>
          <w:szCs w:val="24"/>
        </w:rPr>
        <w:t>erecho a la participación en las decisiones que los afectan y a la protección del ambiente sano.  Con las consultas populares no se suple de manera completa la necesidad de estructurar espacios y mecanismos transparentes y reglados de participación, dentro</w:t>
      </w:r>
      <w:r>
        <w:rPr>
          <w:rFonts w:ascii="Times New Roman" w:eastAsia="Times New Roman" w:hAnsi="Times New Roman" w:cs="Times New Roman"/>
          <w:sz w:val="24"/>
          <w:szCs w:val="24"/>
        </w:rPr>
        <w:t xml:space="preserve"> del proceso de identificación y decisión sobre la autorización, definición y delimitación de un proyecto minero o petrolero en su territorio, pues esta suele </w:t>
      </w:r>
      <w:r w:rsidR="00192CD5">
        <w:rPr>
          <w:rFonts w:ascii="Times New Roman" w:eastAsia="Times New Roman" w:hAnsi="Times New Roman" w:cs="Times New Roman"/>
          <w:sz w:val="24"/>
          <w:szCs w:val="24"/>
        </w:rPr>
        <w:t>ocurrir una</w:t>
      </w:r>
      <w:r>
        <w:rPr>
          <w:rFonts w:ascii="Times New Roman" w:eastAsia="Times New Roman" w:hAnsi="Times New Roman" w:cs="Times New Roman"/>
          <w:sz w:val="24"/>
          <w:szCs w:val="24"/>
        </w:rPr>
        <w:t xml:space="preserve"> vez se ha autorizado la realización de una actividad minera en </w:t>
      </w:r>
      <w:r w:rsidR="00192CD5">
        <w:rPr>
          <w:rFonts w:ascii="Times New Roman" w:eastAsia="Times New Roman" w:hAnsi="Times New Roman" w:cs="Times New Roman"/>
          <w:sz w:val="24"/>
          <w:szCs w:val="24"/>
        </w:rPr>
        <w:t>determinada zona</w:t>
      </w:r>
      <w:r>
        <w:rPr>
          <w:rFonts w:ascii="Times New Roman" w:eastAsia="Times New Roman" w:hAnsi="Times New Roman" w:cs="Times New Roman"/>
          <w:sz w:val="24"/>
          <w:szCs w:val="24"/>
        </w:rPr>
        <w:t xml:space="preserve"> del</w:t>
      </w:r>
      <w:r>
        <w:rPr>
          <w:rFonts w:ascii="Times New Roman" w:eastAsia="Times New Roman" w:hAnsi="Times New Roman" w:cs="Times New Roman"/>
          <w:sz w:val="24"/>
          <w:szCs w:val="24"/>
        </w:rPr>
        <w:t xml:space="preserve"> municipio. Entre algunos ejemplos se encuentra la consulta popular de Piedras (Tolima, 2012), Tauramena (Casanare, 2013), Monterrey (Casanare, 2013) y otras que se encuentran en trámite para ser realizadas como la de Ibagué (Tolima).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verá más ad</w:t>
      </w:r>
      <w:r>
        <w:rPr>
          <w:rFonts w:ascii="Times New Roman" w:eastAsia="Times New Roman" w:hAnsi="Times New Roman" w:cs="Times New Roman"/>
          <w:sz w:val="24"/>
          <w:szCs w:val="24"/>
        </w:rPr>
        <w:t>elante en la presente exposición de motivos, el papel de la jurisprudencia de la Corte Constitucional ha sido fundamental en la formulación de lineamientos que permitan llenar el mencionado vacío legal. Decisiones como la C-123 de 2014, C-035 de 2016 y C-2</w:t>
      </w:r>
      <w:r>
        <w:rPr>
          <w:rFonts w:ascii="Times New Roman" w:eastAsia="Times New Roman" w:hAnsi="Times New Roman" w:cs="Times New Roman"/>
          <w:sz w:val="24"/>
          <w:szCs w:val="24"/>
        </w:rPr>
        <w:t>73 de 2016 han sentado las bases jurisprudenciales para formular las normas necesarias para que se logre esclarecer la tensión entre los principios constitucionales de Estado unitario y autonomía territorial y para que la decisión sobre la realización de u</w:t>
      </w:r>
      <w:r>
        <w:rPr>
          <w:rFonts w:ascii="Times New Roman" w:eastAsia="Times New Roman" w:hAnsi="Times New Roman" w:cs="Times New Roman"/>
          <w:sz w:val="24"/>
          <w:szCs w:val="24"/>
        </w:rPr>
        <w:t xml:space="preserve">n proyecto de exploración y explotación minera en un territorio no continúe siendo un factor de generación de conflictos en los municipios colombianos.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presente proyecto de ley entiende que la minería es una actividad cuya autorización se proyecta par</w:t>
      </w:r>
      <w:r>
        <w:rPr>
          <w:rFonts w:ascii="Times New Roman" w:eastAsia="Times New Roman" w:hAnsi="Times New Roman" w:cs="Times New Roman"/>
          <w:sz w:val="24"/>
          <w:szCs w:val="24"/>
        </w:rPr>
        <w:t>a el mediano y largo plazo</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y en este sentido, cualquier decisión sobre la realización de la misma debe darse de forma reglada a través de instrumentos que respondan también al mediano y largo plazo. En este sentido, el presente proyecto de ley propone dos</w:t>
      </w:r>
      <w:r>
        <w:rPr>
          <w:rFonts w:ascii="Times New Roman" w:eastAsia="Times New Roman" w:hAnsi="Times New Roman" w:cs="Times New Roman"/>
          <w:sz w:val="24"/>
          <w:szCs w:val="24"/>
        </w:rPr>
        <w:t xml:space="preserve"> artículos, el primero contiene el principio de concertación minera entre las autoridades municipales y las autoridades del nivel nacional en la delimitación y declaración de las zonas donde se habilita la realización de actividades mineras –que no deja si</w:t>
      </w:r>
      <w:r>
        <w:rPr>
          <w:rFonts w:ascii="Times New Roman" w:eastAsia="Times New Roman" w:hAnsi="Times New Roman" w:cs="Times New Roman"/>
          <w:sz w:val="24"/>
          <w:szCs w:val="24"/>
        </w:rPr>
        <w:t xml:space="preserve">n efectos y en ningún caso limita la posibilidad de activar los mecanismos de participación popular previstos en la ley; el segundo artículo propone la modificación del artículo 24 de la Ley 388 de 1997 en la medida en que el momento idóneo para concertar </w:t>
      </w:r>
      <w:r>
        <w:rPr>
          <w:rFonts w:ascii="Times New Roman" w:eastAsia="Times New Roman" w:hAnsi="Times New Roman" w:cs="Times New Roman"/>
          <w:sz w:val="24"/>
          <w:szCs w:val="24"/>
        </w:rPr>
        <w:t>la autorización de minería en un territorio es en la formulación del Plan de Ordenamiento Territorial por tratarse del  instrumento que orienta el  desarrollo del territorio bajo la jurisdicción de un municipio y regula la utilización, transformación y ocu</w:t>
      </w:r>
      <w:r>
        <w:rPr>
          <w:rFonts w:ascii="Times New Roman" w:eastAsia="Times New Roman" w:hAnsi="Times New Roman" w:cs="Times New Roman"/>
          <w:sz w:val="24"/>
          <w:szCs w:val="24"/>
        </w:rPr>
        <w:t>pación del espacio “de acuerdo con las estrategias de desarrollo socio-económico y en armonía con el medio ambiente y las tradiciones históricas y culturales”</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además de definir las estrategias territoriales de uso, ocupación y manejo del suelo. </w:t>
      </w:r>
    </w:p>
    <w:p w:rsidR="00D53093" w:rsidRDefault="00D53093" w:rsidP="00632951">
      <w:pPr>
        <w:jc w:val="both"/>
        <w:rPr>
          <w:rFonts w:ascii="Times New Roman" w:eastAsia="Times New Roman" w:hAnsi="Times New Roman" w:cs="Times New Roman"/>
          <w:sz w:val="24"/>
          <w:szCs w:val="24"/>
        </w:rPr>
      </w:pP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Marco </w:t>
      </w:r>
      <w:r>
        <w:rPr>
          <w:rFonts w:ascii="Times New Roman" w:eastAsia="Times New Roman" w:hAnsi="Times New Roman" w:cs="Times New Roman"/>
          <w:b/>
          <w:sz w:val="24"/>
          <w:szCs w:val="24"/>
        </w:rPr>
        <w:t>Normativo</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numPr>
          <w:ilvl w:val="1"/>
          <w:numId w:val="2"/>
        </w:numPr>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Constitución Política de 1991</w:t>
      </w:r>
    </w:p>
    <w:p w:rsidR="00D53093" w:rsidRDefault="00D53093" w:rsidP="00632951">
      <w:pPr>
        <w:ind w:left="1440"/>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Constitución Política de 1991 establece en su articulado la distribución de competencias normativas entre la nación y las entidades territoriales. Así, el artículo 332 establece que “El Estado es propietario del</w:t>
      </w:r>
      <w:r>
        <w:rPr>
          <w:rFonts w:ascii="Times New Roman" w:eastAsia="Times New Roman" w:hAnsi="Times New Roman" w:cs="Times New Roman"/>
          <w:sz w:val="24"/>
          <w:szCs w:val="24"/>
        </w:rPr>
        <w:t xml:space="preserve"> subsuelo y de los recursos naturales no renovables, sin perjuicio de los derechos adquiridos y perfeccionados con arreglo a las leyes preexistentes” como parte del principio de Estado unitario contenido en el artículo 1° de la Carta.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su vez, el artícu</w:t>
      </w:r>
      <w:r>
        <w:rPr>
          <w:rFonts w:ascii="Times New Roman" w:eastAsia="Times New Roman" w:hAnsi="Times New Roman" w:cs="Times New Roman"/>
          <w:sz w:val="24"/>
          <w:szCs w:val="24"/>
        </w:rPr>
        <w:t>lo 311 de la Constitución consagra a los municipios como la entidad fundamental de la división político-administrativa del Estado a la que le corresponde, entre otras funciones, “ordenar el desarrollo de su territorio”. Esta función se concreta en lo consa</w:t>
      </w:r>
      <w:r>
        <w:rPr>
          <w:rFonts w:ascii="Times New Roman" w:eastAsia="Times New Roman" w:hAnsi="Times New Roman" w:cs="Times New Roman"/>
          <w:sz w:val="24"/>
          <w:szCs w:val="24"/>
        </w:rPr>
        <w:t>grado en el artículo 313 de la Constitución sobre las competencias de los concejos, pues en su numeral 7 establece que corresponde a éstos “reglamentar los usos del suelo”. Frente a esta tensión, la Corte Constitucional ha fijado los lineamientos generales</w:t>
      </w:r>
      <w:r>
        <w:rPr>
          <w:rFonts w:ascii="Times New Roman" w:eastAsia="Times New Roman" w:hAnsi="Times New Roman" w:cs="Times New Roman"/>
          <w:sz w:val="24"/>
          <w:szCs w:val="24"/>
        </w:rPr>
        <w:t xml:space="preserve"> que permiten armonizar las competencias de las autoridades municipales con las autoridades del nivel nacional, como se desarrollará más adelante cuando se analice la jurisprudencia de la Corte Constitucional sobre esta materia. </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numPr>
          <w:ilvl w:val="1"/>
          <w:numId w:val="2"/>
        </w:numPr>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388 de 1997</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Ley 3</w:t>
      </w:r>
      <w:r>
        <w:rPr>
          <w:rFonts w:ascii="Times New Roman" w:eastAsia="Times New Roman" w:hAnsi="Times New Roman" w:cs="Times New Roman"/>
          <w:sz w:val="24"/>
          <w:szCs w:val="24"/>
        </w:rPr>
        <w:t>88 de 1997 establece entre sus objetivos principales “el establecimiento de mecanismos que permitan al municipio, en ejercicio de su autonomía, promover el ordenamiento de su territorio, el uso equitativo y racional del suelo, la preservación y defensa del</w:t>
      </w:r>
      <w:r>
        <w:rPr>
          <w:rFonts w:ascii="Times New Roman" w:eastAsia="Times New Roman" w:hAnsi="Times New Roman" w:cs="Times New Roman"/>
          <w:sz w:val="24"/>
          <w:szCs w:val="24"/>
        </w:rPr>
        <w:t xml:space="preserve"> patrimonio ecológico y cultural localizado en su ámbito territorial (…)”. Asimismo, la Ley 388 busca “promover la armoniosa concurrencia de la Nación, las entidades territoriales, las autoridades ambientales y las instancias y autoridades administrativas </w:t>
      </w:r>
      <w:r>
        <w:rPr>
          <w:rFonts w:ascii="Times New Roman" w:eastAsia="Times New Roman" w:hAnsi="Times New Roman" w:cs="Times New Roman"/>
          <w:sz w:val="24"/>
          <w:szCs w:val="24"/>
        </w:rPr>
        <w:t>y de planificación, en el cumplimiento de las obligaciones constitucionales y legales que prescriben al Estado el ordenamiento del territorio, para lograr el mejoramiento de la calidad de vida de sus habitantes”. En este sentido, para el Legislador en la f</w:t>
      </w:r>
      <w:r>
        <w:rPr>
          <w:rFonts w:ascii="Times New Roman" w:eastAsia="Times New Roman" w:hAnsi="Times New Roman" w:cs="Times New Roman"/>
          <w:sz w:val="24"/>
          <w:szCs w:val="24"/>
        </w:rPr>
        <w:t xml:space="preserve">ormulación de la Ley 388 de 1997 fue claro que debe haber armonía entre el ejercicio de la autonomía por parte de los municipios y las competencias concurrentes entre éstos y la Nación. </w:t>
      </w:r>
    </w:p>
    <w:p w:rsidR="00D53093" w:rsidRDefault="00D53093" w:rsidP="00632951">
      <w:pPr>
        <w:jc w:val="both"/>
        <w:rPr>
          <w:rFonts w:ascii="Times New Roman" w:eastAsia="Times New Roman" w:hAnsi="Times New Roman" w:cs="Times New Roman"/>
          <w:sz w:val="24"/>
          <w:szCs w:val="24"/>
        </w:rPr>
      </w:pP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el artículo 9° de la misma ley, el plan de ordenamiento territorial “es el instrumento básico para desarrollar el proceso de ordenamiento del territorio municipal. Se define como el conjunto de objetivos, directrices, políticas, estrategias, metas, p</w:t>
      </w:r>
      <w:r>
        <w:rPr>
          <w:rFonts w:ascii="Times New Roman" w:eastAsia="Times New Roman" w:hAnsi="Times New Roman" w:cs="Times New Roman"/>
          <w:sz w:val="24"/>
          <w:szCs w:val="24"/>
        </w:rPr>
        <w:t>rogramas, actuaciones y normas adoptadas para orientar y administrar el desarrollo físico del territorio y la utilización del suelo”. En cuanto al componente general del plan de ordenamiento, el artículo 12° establece que éste debe contener los objetivos y</w:t>
      </w:r>
      <w:r>
        <w:rPr>
          <w:rFonts w:ascii="Times New Roman" w:eastAsia="Times New Roman" w:hAnsi="Times New Roman" w:cs="Times New Roman"/>
          <w:sz w:val="24"/>
          <w:szCs w:val="24"/>
        </w:rPr>
        <w:t xml:space="preserve"> estrategias de largo y mediano plazo que complementarán, desde el punto de vista del manejo territorial, el desarrollo municipal y distrital, entre otros aspectos, la “adopción de las políticas de largo plazo para la ocupación, aprovechamiento y manejo de</w:t>
      </w:r>
      <w:r>
        <w:rPr>
          <w:rFonts w:ascii="Times New Roman" w:eastAsia="Times New Roman" w:hAnsi="Times New Roman" w:cs="Times New Roman"/>
          <w:sz w:val="24"/>
          <w:szCs w:val="24"/>
        </w:rPr>
        <w:t>l suelo y del conjunto de los recursos naturales”.</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resaltar que la Constitución Política hace mención a los dos tipos de recursos naturales, consagra que el Estado planificará el manejo y aprovechamiento de los recursos naturales en general. Específi</w:t>
      </w:r>
      <w:r>
        <w:rPr>
          <w:rFonts w:ascii="Times New Roman" w:eastAsia="Times New Roman" w:hAnsi="Times New Roman" w:cs="Times New Roman"/>
          <w:sz w:val="24"/>
          <w:szCs w:val="24"/>
        </w:rPr>
        <w:t xml:space="preserve">camente establece que el Estado es propietario de los recursos naturales no renovables y menciona que hay unas entidades encargadas del manejo y conservación del ambiente y de los recursos naturales renovables, las Corporaciones Autónomas Regionales y los </w:t>
      </w:r>
      <w:r>
        <w:rPr>
          <w:rFonts w:ascii="Times New Roman" w:eastAsia="Times New Roman" w:hAnsi="Times New Roman" w:cs="Times New Roman"/>
          <w:sz w:val="24"/>
          <w:szCs w:val="24"/>
        </w:rPr>
        <w:t>demás miembros del Sistema Nacional Ambiental consagrados en la Ley 99 de 1993. Es importante tener presente dicha distinción pues la Ley 388 al establecer que el Plan de Ordenamiento territorial es el instrumento que adoptará a largo plazo el manejo del c</w:t>
      </w:r>
      <w:r>
        <w:rPr>
          <w:rFonts w:ascii="Times New Roman" w:eastAsia="Times New Roman" w:hAnsi="Times New Roman" w:cs="Times New Roman"/>
          <w:sz w:val="24"/>
          <w:szCs w:val="24"/>
        </w:rPr>
        <w:t xml:space="preserve">onjunto de los recursos naturales no limita la planificación exclusivamente a los recursos naturales </w:t>
      </w:r>
      <w:r w:rsidR="00192CD5">
        <w:rPr>
          <w:rFonts w:ascii="Times New Roman" w:eastAsia="Times New Roman" w:hAnsi="Times New Roman" w:cs="Times New Roman"/>
          <w:sz w:val="24"/>
          <w:szCs w:val="24"/>
        </w:rPr>
        <w:t>renovables,</w:t>
      </w:r>
      <w:r>
        <w:rPr>
          <w:rFonts w:ascii="Times New Roman" w:eastAsia="Times New Roman" w:hAnsi="Times New Roman" w:cs="Times New Roman"/>
          <w:sz w:val="24"/>
          <w:szCs w:val="24"/>
        </w:rPr>
        <w:t xml:space="preserve"> sino que consagra una norma abierta en la que puede entenderse que se encuentran incluidos los recursos naturales no renovables. </w:t>
      </w:r>
    </w:p>
    <w:p w:rsidR="00D53093" w:rsidRDefault="00D53093" w:rsidP="00632951">
      <w:pPr>
        <w:ind w:left="360"/>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Adicionalment</w:t>
      </w:r>
      <w:r>
        <w:rPr>
          <w:rFonts w:ascii="Times New Roman" w:eastAsia="Times New Roman" w:hAnsi="Times New Roman" w:cs="Times New Roman"/>
          <w:sz w:val="24"/>
          <w:szCs w:val="24"/>
        </w:rPr>
        <w:t>e, el artículo 14° de la misma ley establece que el componente rural del plan de ordenamiento territorial “es un instrumento para garantizar la adecuada interacción entre los asentamientos rurales y la cabecera municipal” que debe contener, entre otros ele</w:t>
      </w:r>
      <w:r>
        <w:rPr>
          <w:rFonts w:ascii="Times New Roman" w:eastAsia="Times New Roman" w:hAnsi="Times New Roman" w:cs="Times New Roman"/>
          <w:sz w:val="24"/>
          <w:szCs w:val="24"/>
        </w:rPr>
        <w:t>mentos, “el señalamiento de las condiciones de protección, conservación y mejoramiento de las zonas de producción agropecuaria, forestal o</w:t>
      </w:r>
      <w:r>
        <w:rPr>
          <w:rFonts w:ascii="Times New Roman" w:eastAsia="Times New Roman" w:hAnsi="Times New Roman" w:cs="Times New Roman"/>
          <w:b/>
          <w:sz w:val="24"/>
          <w:szCs w:val="24"/>
        </w:rPr>
        <w:t xml:space="preserve"> minera</w:t>
      </w:r>
      <w:r>
        <w:rPr>
          <w:rFonts w:ascii="Times New Roman" w:eastAsia="Times New Roman" w:hAnsi="Times New Roman" w:cs="Times New Roman"/>
          <w:sz w:val="24"/>
          <w:szCs w:val="24"/>
        </w:rPr>
        <w:t>” (subrayado fuera de texto).</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la planificación del manejo de los recursos naturales en genera</w:t>
      </w:r>
      <w:r>
        <w:rPr>
          <w:rFonts w:ascii="Times New Roman" w:eastAsia="Times New Roman" w:hAnsi="Times New Roman" w:cs="Times New Roman"/>
          <w:sz w:val="24"/>
          <w:szCs w:val="24"/>
        </w:rPr>
        <w:t xml:space="preserve">l, lo que comprende tanto renovables como no renovables y el señalamiento de condiciones de las zonas de producción minera no son temas ajenos a los planes de ordenamiento territorial pues la misma Ley 388 de 1997 los menciona en su articulado.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numPr>
          <w:ilvl w:val="1"/>
          <w:numId w:val="2"/>
        </w:numPr>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Ley 1454 </w:t>
      </w:r>
      <w:r>
        <w:rPr>
          <w:rFonts w:ascii="Times New Roman" w:eastAsia="Times New Roman" w:hAnsi="Times New Roman" w:cs="Times New Roman"/>
          <w:b/>
          <w:sz w:val="24"/>
          <w:szCs w:val="24"/>
        </w:rPr>
        <w:t>de 2011</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armonía con la Ley 388 de 1997, la Ley 1454 de 2011 “Por la cual se dictan normas orgánicas sobre ordenamiento territorial y se modifican otras disposiciones” contiene entre sus objetivos el de definir las competencias entre la nación y las ent</w:t>
      </w:r>
      <w:r>
        <w:rPr>
          <w:rFonts w:ascii="Times New Roman" w:eastAsia="Times New Roman" w:hAnsi="Times New Roman" w:cs="Times New Roman"/>
          <w:sz w:val="24"/>
          <w:szCs w:val="24"/>
        </w:rPr>
        <w:t>idades territoriales en materia de ordenamiento territorial y establecer las normas generales para la organización territorial</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Dicha ley define concretamente el concepto y finalidad del ordenamiento territorial como un “instrumento de planificación y de </w:t>
      </w:r>
      <w:r>
        <w:rPr>
          <w:rFonts w:ascii="Times New Roman" w:eastAsia="Times New Roman" w:hAnsi="Times New Roman" w:cs="Times New Roman"/>
          <w:sz w:val="24"/>
          <w:szCs w:val="24"/>
        </w:rPr>
        <w:t>gestión de las entidades territoriales  y un proceso de construcción colectiva de país, que se da de manera progresiva, gradual y flexible, con responsabilidad fiscal, tendiente a lograr una adecuada organización político administrativa del Estado en el te</w:t>
      </w:r>
      <w:r>
        <w:rPr>
          <w:rFonts w:ascii="Times New Roman" w:eastAsia="Times New Roman" w:hAnsi="Times New Roman" w:cs="Times New Roman"/>
          <w:sz w:val="24"/>
          <w:szCs w:val="24"/>
        </w:rPr>
        <w:t>rritorio, para facilitar el desarrollo institucional, el fortalecimiento de la identidad cultural  y el desarrollo territorial, entendido  este como desarrollo económicamente competitivo, socialmente justo, ambientalmente y fiscalmente sostenible, regional</w:t>
      </w:r>
      <w:r>
        <w:rPr>
          <w:rFonts w:ascii="Times New Roman" w:eastAsia="Times New Roman" w:hAnsi="Times New Roman" w:cs="Times New Roman"/>
          <w:sz w:val="24"/>
          <w:szCs w:val="24"/>
        </w:rPr>
        <w:t>mente armónico, culturalmente pertinente, atendiendo a la diversidad cultural y físico-geográfica de Colombia”</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Dicha ley también reconoce que la finalidad del ordenamiento territorial es propiciar “las condiciones para concertar políticas públicas entre la nación y las entidades </w:t>
      </w:r>
      <w:r>
        <w:rPr>
          <w:rFonts w:ascii="Times New Roman" w:eastAsia="Times New Roman" w:hAnsi="Times New Roman" w:cs="Times New Roman"/>
          <w:sz w:val="24"/>
          <w:szCs w:val="24"/>
        </w:rPr>
        <w:lastRenderedPageBreak/>
        <w:t xml:space="preserve">territoriales, con reconocimiento de la diversidad geográfica, histórica, económica, </w:t>
      </w:r>
      <w:r>
        <w:rPr>
          <w:rFonts w:ascii="Times New Roman" w:eastAsia="Times New Roman" w:hAnsi="Times New Roman" w:cs="Times New Roman"/>
          <w:sz w:val="24"/>
          <w:szCs w:val="24"/>
        </w:rPr>
        <w:t>ambiental, étnica y cultural e identidad regional y nacional”</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proyecto de ley propone la adición de directrices para la concertación minera entre las entidades territoriales y las autoridades del nivel nacional bajo el entendido que la ley </w:t>
      </w:r>
      <w:r>
        <w:rPr>
          <w:rFonts w:ascii="Times New Roman" w:eastAsia="Times New Roman" w:hAnsi="Times New Roman" w:cs="Times New Roman"/>
          <w:sz w:val="24"/>
          <w:szCs w:val="24"/>
        </w:rPr>
        <w:t>orgánica de ordenamiento territorial “constituye un marco normativo general de principios rectores que deben ser desarrollados y aplicados por el legislador en cada materia específica, para departamentos, municipios y entidades territoriales indígenas y de</w:t>
      </w:r>
      <w:r>
        <w:rPr>
          <w:rFonts w:ascii="Times New Roman" w:eastAsia="Times New Roman" w:hAnsi="Times New Roman" w:cs="Times New Roman"/>
          <w:sz w:val="24"/>
          <w:szCs w:val="24"/>
        </w:rPr>
        <w:t>más normas que afecten, reformen o modifiquen la organización político administrativa del  Estado en el  territorio”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la ley 1454 de 2011 que dicta las normas orgánicas sobre ordenamiento territorial establece entre sus principios la sostenibi</w:t>
      </w:r>
      <w:r>
        <w:rPr>
          <w:rFonts w:ascii="Times New Roman" w:eastAsia="Times New Roman" w:hAnsi="Times New Roman" w:cs="Times New Roman"/>
          <w:sz w:val="24"/>
          <w:szCs w:val="24"/>
        </w:rPr>
        <w:t>lidad y la participación. Con respecto a la sostenibilidad señala que “el ordenamiento territorial conciliará el crecimiento económico, la sostenibilidad fiscal, la equidad social y la sostenibilidad ambiental, para garantizar adecuadas condiciones de vida</w:t>
      </w:r>
      <w:r>
        <w:rPr>
          <w:rFonts w:ascii="Times New Roman" w:eastAsia="Times New Roman" w:hAnsi="Times New Roman" w:cs="Times New Roman"/>
          <w:sz w:val="24"/>
          <w:szCs w:val="24"/>
        </w:rPr>
        <w:t xml:space="preserve"> de la población”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y respecto a la participación consagra que “la política de ordenamiento territorial promoverá la participación, concertación y cooperación para que los ciudadanos tomen parte activa en las decisiones que inciden en la orientación y organ</w:t>
      </w:r>
      <w:r>
        <w:rPr>
          <w:rFonts w:ascii="Times New Roman" w:eastAsia="Times New Roman" w:hAnsi="Times New Roman" w:cs="Times New Roman"/>
          <w:sz w:val="24"/>
          <w:szCs w:val="24"/>
        </w:rPr>
        <w:t>ización territorial”</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 las decisiones que incide en la orientación y organización territorial sin duda es la decisión sobre realizar actividades de explotación de recursos naturales no renovables en un territorio, concretamente minería. Como se me</w:t>
      </w:r>
      <w:r>
        <w:rPr>
          <w:rFonts w:ascii="Times New Roman" w:eastAsia="Times New Roman" w:hAnsi="Times New Roman" w:cs="Times New Roman"/>
          <w:sz w:val="24"/>
          <w:szCs w:val="24"/>
        </w:rPr>
        <w:t>ncionó anteriormente hay una tensión presente entre el principio de Estado unitario y el principio de autonomía territorial que se traduce en la tensión de competencias entre Nación y entidades territoriales. Frente a esta tensión, el artículo 27 establece</w:t>
      </w:r>
      <w:r>
        <w:rPr>
          <w:rFonts w:ascii="Times New Roman" w:eastAsia="Times New Roman" w:hAnsi="Times New Roman" w:cs="Times New Roman"/>
          <w:sz w:val="24"/>
          <w:szCs w:val="24"/>
        </w:rPr>
        <w:t xml:space="preserve"> varios principios que rigen el ejercicio de las competencias y que deben ser tenidos en cuenta en caso de conflictos entre los que se encuentran: </w:t>
      </w:r>
    </w:p>
    <w:p w:rsidR="00D53093" w:rsidRDefault="00D53093" w:rsidP="00632951">
      <w:pPr>
        <w:jc w:val="both"/>
        <w:rPr>
          <w:rFonts w:ascii="Times New Roman" w:eastAsia="Times New Roman" w:hAnsi="Times New Roman" w:cs="Times New Roman"/>
          <w:sz w:val="24"/>
          <w:szCs w:val="24"/>
        </w:rPr>
      </w:pPr>
    </w:p>
    <w:tbl>
      <w:tblPr>
        <w:tblStyle w:val="a"/>
        <w:tblW w:w="882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7075"/>
      </w:tblGrid>
      <w:tr w:rsidR="00D53093">
        <w:tc>
          <w:tcPr>
            <w:tcW w:w="1753" w:type="dxa"/>
          </w:tcPr>
          <w:p w:rsidR="00D53093" w:rsidRDefault="002331E2" w:rsidP="00632951">
            <w:pPr>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Principio</w:t>
            </w:r>
          </w:p>
        </w:tc>
        <w:tc>
          <w:tcPr>
            <w:tcW w:w="7075" w:type="dxa"/>
          </w:tcPr>
          <w:p w:rsidR="00D53093" w:rsidRDefault="002331E2" w:rsidP="00632951">
            <w:pPr>
              <w:spacing w:after="1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Definición</w:t>
            </w:r>
          </w:p>
        </w:tc>
      </w:tr>
      <w:tr w:rsidR="00D53093">
        <w:tc>
          <w:tcPr>
            <w:tcW w:w="1753" w:type="dxa"/>
          </w:tcPr>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Coordinación</w:t>
            </w:r>
          </w:p>
        </w:tc>
        <w:tc>
          <w:tcPr>
            <w:tcW w:w="7075" w:type="dxa"/>
          </w:tcPr>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nación y las entidades territoriales deberán ejercer sus competencias de manera articulada, coherente y armónica. En desarrollo de este principio, las entidades territoriales y demás esquemas asociativos se articularán, con las autoridades nacionales y </w:t>
            </w:r>
            <w:r>
              <w:rPr>
                <w:rFonts w:ascii="Times New Roman" w:eastAsia="Times New Roman" w:hAnsi="Times New Roman" w:cs="Times New Roman"/>
                <w:sz w:val="24"/>
                <w:szCs w:val="24"/>
              </w:rPr>
              <w:t xml:space="preserve">regionales, con el propósito especial de garantizar los derechos fundamentales de los ciudadanos como individuos, los derechos colectivos y del medio ambiente establecidos en la Constitución Política. </w:t>
            </w:r>
          </w:p>
        </w:tc>
      </w:tr>
      <w:tr w:rsidR="00D53093">
        <w:tc>
          <w:tcPr>
            <w:tcW w:w="1753" w:type="dxa"/>
          </w:tcPr>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Concurrencia</w:t>
            </w:r>
          </w:p>
        </w:tc>
        <w:tc>
          <w:tcPr>
            <w:tcW w:w="7075" w:type="dxa"/>
          </w:tcPr>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Nación y las entidades territoriales </w:t>
            </w:r>
            <w:r>
              <w:rPr>
                <w:rFonts w:ascii="Times New Roman" w:eastAsia="Times New Roman" w:hAnsi="Times New Roman" w:cs="Times New Roman"/>
                <w:sz w:val="24"/>
                <w:szCs w:val="24"/>
              </w:rPr>
              <w:t xml:space="preserve">desarrollarán oportunamente acciones conjuntas en busca de un objeto común, cuando así esté establecido, con respeto de su autonomía. </w:t>
            </w:r>
          </w:p>
        </w:tc>
      </w:tr>
      <w:tr w:rsidR="00D53093">
        <w:tc>
          <w:tcPr>
            <w:tcW w:w="1753" w:type="dxa"/>
          </w:tcPr>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Subsidiariedad</w:t>
            </w:r>
          </w:p>
        </w:tc>
        <w:tc>
          <w:tcPr>
            <w:tcW w:w="7075" w:type="dxa"/>
          </w:tcPr>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Nación, las entidades territoriales y los esquemas de integración territorial apoyarán en forma transi</w:t>
            </w:r>
            <w:r>
              <w:rPr>
                <w:rFonts w:ascii="Times New Roman" w:eastAsia="Times New Roman" w:hAnsi="Times New Roman" w:cs="Times New Roman"/>
                <w:sz w:val="24"/>
                <w:szCs w:val="24"/>
              </w:rPr>
              <w:t xml:space="preserve">toria y parcial en el ejercicio de sus competencias, a las entidades de menor categoría fiscal, desarrollo económico y social, dentro del mismo ámbito de la jurisdicción territorial, cuando se demuestre su imposibilidad de ejercer debidamente determinadas </w:t>
            </w:r>
            <w:r>
              <w:rPr>
                <w:rFonts w:ascii="Times New Roman" w:eastAsia="Times New Roman" w:hAnsi="Times New Roman" w:cs="Times New Roman"/>
                <w:sz w:val="24"/>
                <w:szCs w:val="24"/>
              </w:rPr>
              <w:t xml:space="preserve">competencias. El desarrollo de este principio estará sujeto a evaluación y seguimiento de las entidades del nivel nacional rectora de la materia. El Gobierno Nacional desarrollará la materia en coordinación con los entes territoriales. </w:t>
            </w:r>
          </w:p>
        </w:tc>
      </w:tr>
    </w:tbl>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se verá en e</w:t>
      </w:r>
      <w:r>
        <w:rPr>
          <w:rFonts w:ascii="Times New Roman" w:eastAsia="Times New Roman" w:hAnsi="Times New Roman" w:cs="Times New Roman"/>
          <w:sz w:val="24"/>
          <w:szCs w:val="24"/>
        </w:rPr>
        <w:t xml:space="preserve">l siguiente apartado, los principios contenidos en la Ley 1454 de 2011 son retomados por la jurisprudencia de la Corte Constitucional en la decisión sobre la tensión sobre la autorización de minería en los territorios.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numPr>
          <w:ilvl w:val="1"/>
          <w:numId w:val="2"/>
        </w:numPr>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Ley 685 de 2011 Código de Minas</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w:t>
      </w:r>
      <w:r>
        <w:rPr>
          <w:rFonts w:ascii="Times New Roman" w:eastAsia="Times New Roman" w:hAnsi="Times New Roman" w:cs="Times New Roman"/>
          <w:sz w:val="24"/>
          <w:szCs w:val="24"/>
        </w:rPr>
        <w:t>rante la administración del presidente Andrés Pastrana (1998-2002) se sancionó la ley que actualmente rige el sector minero en el país. La reforma al antiguo Código se justificó por la necesidad de ajustarlo a la Constitución de 1991 y a las leyes que la r</w:t>
      </w:r>
      <w:r>
        <w:rPr>
          <w:rFonts w:ascii="Times New Roman" w:eastAsia="Times New Roman" w:hAnsi="Times New Roman" w:cs="Times New Roman"/>
          <w:sz w:val="24"/>
          <w:szCs w:val="24"/>
        </w:rPr>
        <w:t>eglamentan, amén de las presiones por parte de las empresas privadas y los gremios para que se modificara</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1996 la Agencia Canadiense para el Desarrollo Internacional –ACDI- apoyó con asistencia técnica al gobierno colombiano en un proyecto para la</w:t>
      </w:r>
      <w:r>
        <w:rPr>
          <w:rFonts w:ascii="Times New Roman" w:eastAsia="Times New Roman" w:hAnsi="Times New Roman" w:cs="Times New Roman"/>
          <w:sz w:val="24"/>
          <w:szCs w:val="24"/>
        </w:rPr>
        <w:t xml:space="preserve"> reforma de la legislación minera (Mining Watch Canadá y CENSAT, 2009); en 1997 se celebró el convenio entre el Ministerio de Minas y Energía y el Canadian Energy Research Institute (CERI) para asesorar la formulación de políticas y normativa minera en Col</w:t>
      </w:r>
      <w:r>
        <w:rPr>
          <w:rFonts w:ascii="Times New Roman" w:eastAsia="Times New Roman" w:hAnsi="Times New Roman" w:cs="Times New Roman"/>
          <w:sz w:val="24"/>
          <w:szCs w:val="24"/>
        </w:rPr>
        <w:t>ombia. La Contraloría General de la República advirtió sobre la inconveniencia de esta relación señalando que si Canadá invertía una cuantía importante de recursos para fortalecer las instituciones del Estado era lógico que éste país espera obtener algún b</w:t>
      </w:r>
      <w:r>
        <w:rPr>
          <w:rFonts w:ascii="Times New Roman" w:eastAsia="Times New Roman" w:hAnsi="Times New Roman" w:cs="Times New Roman"/>
          <w:sz w:val="24"/>
          <w:szCs w:val="24"/>
        </w:rPr>
        <w:t>eneficio de la nueva legislación. Concluía que “se presenta por lo menos en la primera etapa del proyecto una importante salida de información geo-científica y ambiental cuyo potencial de conocimiento se pierde para el país” (Contraloría General de la Repú</w:t>
      </w:r>
      <w:r>
        <w:rPr>
          <w:rFonts w:ascii="Times New Roman" w:eastAsia="Times New Roman" w:hAnsi="Times New Roman" w:cs="Times New Roman"/>
          <w:sz w:val="24"/>
          <w:szCs w:val="24"/>
        </w:rPr>
        <w:t xml:space="preserve">blica, 2000 citado por Fierro 2012: 37). Producto de este convenio, fue diseñado el nuevo código de minas y aprobado por el Congreso mediante la Ley 685 de 2001. Luego fueron expedidos sus decretos reglamentarios, cuya redacción fue asesorada por abogados </w:t>
      </w:r>
      <w:r>
        <w:rPr>
          <w:rFonts w:ascii="Times New Roman" w:eastAsia="Times New Roman" w:hAnsi="Times New Roman" w:cs="Times New Roman"/>
          <w:sz w:val="24"/>
          <w:szCs w:val="24"/>
        </w:rPr>
        <w:t xml:space="preserve">que </w:t>
      </w:r>
      <w:r>
        <w:rPr>
          <w:rFonts w:ascii="Times New Roman" w:eastAsia="Times New Roman" w:hAnsi="Times New Roman" w:cs="Times New Roman"/>
          <w:sz w:val="24"/>
          <w:szCs w:val="24"/>
        </w:rPr>
        <w:lastRenderedPageBreak/>
        <w:t>representaban varias compañías mineras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que en ese momento correspondía a la mitad de las empresas inscritas en el Registro Minero Nacional</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código cambió sustancialmente las pautas con las que se venía rigiendo el sector, introduciendo aspectos que muestran serias incompatibilidades con el espíritu de la Constitución Política de 1991. En efecto, la ley 685 de 2001 contraría los principios</w:t>
      </w:r>
      <w:r>
        <w:rPr>
          <w:rFonts w:ascii="Times New Roman" w:eastAsia="Times New Roman" w:hAnsi="Times New Roman" w:cs="Times New Roman"/>
          <w:sz w:val="24"/>
          <w:szCs w:val="24"/>
        </w:rPr>
        <w:t xml:space="preserve"> constitucionales en tres sentidos: 1) desestima la noción del Estado Social de Derecho; 2) rompe la estructura descentralizada del Estado; y 3) define una reglamentación propia para el manejo ambiental, desconociendo la Ley General Ambiental del país (Ley</w:t>
      </w:r>
      <w:r>
        <w:rPr>
          <w:rFonts w:ascii="Times New Roman" w:eastAsia="Times New Roman" w:hAnsi="Times New Roman" w:cs="Times New Roman"/>
          <w:sz w:val="24"/>
          <w:szCs w:val="24"/>
        </w:rPr>
        <w:t xml:space="preserve"> 99 de 1993)</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numPr>
          <w:ilvl w:val="1"/>
          <w:numId w:val="2"/>
        </w:numPr>
        <w:ind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Jurisprudencia de la Corte Constitucional</w:t>
      </w:r>
    </w:p>
    <w:p w:rsidR="00D53093" w:rsidRDefault="00D53093" w:rsidP="00632951">
      <w:pPr>
        <w:ind w:left="1440"/>
        <w:jc w:val="both"/>
        <w:rPr>
          <w:rFonts w:ascii="Times New Roman" w:eastAsia="Times New Roman" w:hAnsi="Times New Roman" w:cs="Times New Roman"/>
          <w:b/>
          <w:sz w:val="24"/>
          <w:szCs w:val="24"/>
        </w:rPr>
      </w:pPr>
    </w:p>
    <w:p w:rsidR="00D53093" w:rsidRDefault="002331E2" w:rsidP="00632951">
      <w:pPr>
        <w:numPr>
          <w:ilvl w:val="2"/>
          <w:numId w:val="2"/>
        </w:numPr>
        <w:ind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C-395 de 2012</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Sentencia C-395 de 2012</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la corte decidió sobre la constitucionalidad del artículo 37 del Código de Minas (Ley 685 de 2001) que establecía que las autoridades region</w:t>
      </w:r>
      <w:r>
        <w:rPr>
          <w:rFonts w:ascii="Times New Roman" w:eastAsia="Times New Roman" w:hAnsi="Times New Roman" w:cs="Times New Roman"/>
          <w:sz w:val="24"/>
          <w:szCs w:val="24"/>
        </w:rPr>
        <w:t>ales, seccionales o locales, incluidos los municipios, no podían establecer zonas excluidas de minería. En esta ocasión la Corte declaró la exequibilidad de dicho artículo por los cargos analizados, los cuales se sintetizan en que entidades territoriales n</w:t>
      </w:r>
      <w:r>
        <w:rPr>
          <w:rFonts w:ascii="Times New Roman" w:eastAsia="Times New Roman" w:hAnsi="Times New Roman" w:cs="Times New Roman"/>
          <w:sz w:val="24"/>
          <w:szCs w:val="24"/>
        </w:rPr>
        <w:t>o tengan la posibilidad de regular las condiciones y exigencias a la actividad minera de forma general.</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razón de la decisión se encontraba en que, bajo el criterio de esta alta corporación, el legislador tenía la facultad de dar prelación al principio </w:t>
      </w:r>
      <w:r>
        <w:rPr>
          <w:rFonts w:ascii="Times New Roman" w:eastAsia="Times New Roman" w:hAnsi="Times New Roman" w:cs="Times New Roman"/>
          <w:sz w:val="24"/>
          <w:szCs w:val="24"/>
        </w:rPr>
        <w:t>unitario, en el marco de la tensión existente entre este y el principio autonómico, en el marco constitucional previsto para la explotación de los recursos naturales.</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la Corte aclara que lo anterior no excluye la posibilidad de que</w:t>
      </w:r>
      <w:r w:rsidR="00192CD5">
        <w:rPr>
          <w:rFonts w:ascii="Times New Roman" w:eastAsia="Times New Roman" w:hAnsi="Times New Roman" w:cs="Times New Roman"/>
          <w:sz w:val="24"/>
          <w:szCs w:val="24"/>
        </w:rPr>
        <w:t xml:space="preserve"> el legislador pueda regular </w:t>
      </w:r>
      <w:bookmarkStart w:id="20" w:name="_GoBack"/>
      <w:bookmarkEnd w:id="20"/>
      <w:r>
        <w:rPr>
          <w:rFonts w:ascii="Times New Roman" w:eastAsia="Times New Roman" w:hAnsi="Times New Roman" w:cs="Times New Roman"/>
          <w:sz w:val="24"/>
          <w:szCs w:val="24"/>
        </w:rPr>
        <w:t>las distintas etapas de la</w:t>
      </w:r>
      <w:r>
        <w:rPr>
          <w:rFonts w:ascii="Times New Roman" w:eastAsia="Times New Roman" w:hAnsi="Times New Roman" w:cs="Times New Roman"/>
          <w:sz w:val="24"/>
          <w:szCs w:val="24"/>
        </w:rPr>
        <w:t xml:space="preserve"> actividad minera, y el papel que juegan las entidades territoriales en ellas, lo que permite que el Congreso pueda reg</w:t>
      </w:r>
      <w:r>
        <w:rPr>
          <w:rFonts w:ascii="Times New Roman" w:eastAsia="Times New Roman" w:hAnsi="Times New Roman" w:cs="Times New Roman"/>
          <w:sz w:val="24"/>
          <w:szCs w:val="24"/>
        </w:rPr>
        <w:t>ular la participación de los municipios en la decisión de realizar actividades mineras en su territorio.</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numPr>
          <w:ilvl w:val="2"/>
          <w:numId w:val="2"/>
        </w:numPr>
        <w:ind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C-123 de 2014</w:t>
      </w:r>
    </w:p>
    <w:p w:rsidR="00D53093" w:rsidRDefault="00D53093" w:rsidP="00632951">
      <w:pPr>
        <w:ind w:left="1980"/>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sentencia C-123 de 2014, la Corte Constitucional evalúo de nuevo la constitucionalidad del artículo 37 del Código de Mi</w:t>
      </w:r>
      <w:r>
        <w:rPr>
          <w:rFonts w:ascii="Times New Roman" w:eastAsia="Times New Roman" w:hAnsi="Times New Roman" w:cs="Times New Roman"/>
          <w:sz w:val="24"/>
          <w:szCs w:val="24"/>
        </w:rPr>
        <w:t xml:space="preserve">nas, pero ahora por cargos diferentes. En esta sentencia se declaró la exequibilidad condicionada del artículo 37 del Código de Minas que consagra una prohibición legal según la cual ninguna autoridad regional, seccional o local podrá establecer zonas del </w:t>
      </w:r>
      <w:r>
        <w:rPr>
          <w:rFonts w:ascii="Times New Roman" w:eastAsia="Times New Roman" w:hAnsi="Times New Roman" w:cs="Times New Roman"/>
          <w:sz w:val="24"/>
          <w:szCs w:val="24"/>
        </w:rPr>
        <w:t xml:space="preserve">territorio que quedarán permanente o transitoriamente excluidas de la minería, </w:t>
      </w:r>
      <w:r>
        <w:rPr>
          <w:rFonts w:ascii="Times New Roman" w:eastAsia="Times New Roman" w:hAnsi="Times New Roman" w:cs="Times New Roman"/>
          <w:sz w:val="24"/>
          <w:szCs w:val="24"/>
        </w:rPr>
        <w:lastRenderedPageBreak/>
        <w:t>prohibición que incluía, además, los planes de ordenamiento territorial. En dicha ocasión, la Corte Constitucional estableció los primeros lineamientos frente al tema de la part</w:t>
      </w:r>
      <w:r>
        <w:rPr>
          <w:rFonts w:ascii="Times New Roman" w:eastAsia="Times New Roman" w:hAnsi="Times New Roman" w:cs="Times New Roman"/>
          <w:sz w:val="24"/>
          <w:szCs w:val="24"/>
        </w:rPr>
        <w:t xml:space="preserve">icipación ciudadana y de las autoridades locales en la autorización de minería en su jurisdicción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resolvió la demanda interpuesta contra el artículo 37 de la Ley 685 de 2001, la cual presentó cargos por la vulneración del principi</w:t>
      </w:r>
      <w:r>
        <w:rPr>
          <w:rFonts w:ascii="Times New Roman" w:eastAsia="Times New Roman" w:hAnsi="Times New Roman" w:cs="Times New Roman"/>
          <w:sz w:val="24"/>
          <w:szCs w:val="24"/>
        </w:rPr>
        <w:t>o de autonomía territorial, concretamente, la competencia de los concejos para regular los usos del suelo en el territorio del municipio o distrito (artículo 313 numeral 7 de la Constitución) y por desconocimiento del derecho constitucional a gozar de un a</w:t>
      </w:r>
      <w:r>
        <w:rPr>
          <w:rFonts w:ascii="Times New Roman" w:eastAsia="Times New Roman" w:hAnsi="Times New Roman" w:cs="Times New Roman"/>
          <w:sz w:val="24"/>
          <w:szCs w:val="24"/>
        </w:rPr>
        <w:t>mbiente sano (artículo 79 de la Constitución). En dicha ocasión, la Corte resaltó que en el caso de la exploración y explotación minera los principios fundamentales del ordenamiento constitucional pueden entrar en tensión. En este sentido, destacó que en e</w:t>
      </w:r>
      <w:r>
        <w:rPr>
          <w:rFonts w:ascii="Times New Roman" w:eastAsia="Times New Roman" w:hAnsi="Times New Roman" w:cs="Times New Roman"/>
          <w:sz w:val="24"/>
          <w:szCs w:val="24"/>
        </w:rPr>
        <w:t>l  caso de  la minería si bien puede interpretarse que hay un privilegio por el principio constitucional de organización unitaria del Estado (artículo 1 de la Constitución) y los artículos 332 y 334 de la Constitución que privilegian la posición de la naci</w:t>
      </w:r>
      <w:r>
        <w:rPr>
          <w:rFonts w:ascii="Times New Roman" w:eastAsia="Times New Roman" w:hAnsi="Times New Roman" w:cs="Times New Roman"/>
          <w:sz w:val="24"/>
          <w:szCs w:val="24"/>
        </w:rPr>
        <w:t>ón en la determinación de las políticas relativas a la explotación de recursos naturales; también es necesario tener en cuenta otras disposiciones constitucionales “de igual valía dentro de la organización del Estado, como son los principios de autonomía y</w:t>
      </w:r>
      <w:r>
        <w:rPr>
          <w:rFonts w:ascii="Times New Roman" w:eastAsia="Times New Roman" w:hAnsi="Times New Roman" w:cs="Times New Roman"/>
          <w:sz w:val="24"/>
          <w:szCs w:val="24"/>
        </w:rPr>
        <w:t xml:space="preserve"> descentralización de que gozan las entidades territoriales para la gestión de sus intereses-artículo 287 de la Constitución, y de coordinación y concurrencia-artículo 288 ibídem-, que se deben acatar al hacer el reparto de competencias entre la Nación y, </w:t>
      </w:r>
      <w:r>
        <w:rPr>
          <w:rFonts w:ascii="Times New Roman" w:eastAsia="Times New Roman" w:hAnsi="Times New Roman" w:cs="Times New Roman"/>
          <w:sz w:val="24"/>
          <w:szCs w:val="24"/>
        </w:rPr>
        <w:t>en este caso, los municipios y distritos”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fallo, la Corte Constitucional destacó la necesidad de encontrar una solución que permitiera aplicar de manera armónica el contenido de los principios que se encuentran en tensión y concluyó que en “el p</w:t>
      </w:r>
      <w:r>
        <w:rPr>
          <w:rFonts w:ascii="Times New Roman" w:eastAsia="Times New Roman" w:hAnsi="Times New Roman" w:cs="Times New Roman"/>
          <w:sz w:val="24"/>
          <w:szCs w:val="24"/>
        </w:rPr>
        <w:t>roceso de autorización para la realización de actividades de exploración y explotación minera- cualquiera sea el nombre que se dé al procedimiento para expedir dicha autorización por parte del Estado- se tengan en cuenta los aspectos de coordinación y conc</w:t>
      </w:r>
      <w:r>
        <w:rPr>
          <w:rFonts w:ascii="Times New Roman" w:eastAsia="Times New Roman" w:hAnsi="Times New Roman" w:cs="Times New Roman"/>
          <w:sz w:val="24"/>
          <w:szCs w:val="24"/>
        </w:rPr>
        <w:t xml:space="preserve">urrencia, los cuales se fundan en el principio constitucional de autonomía territorial. En este sentido, </w:t>
      </w:r>
      <w:r>
        <w:rPr>
          <w:rFonts w:ascii="Times New Roman" w:eastAsia="Times New Roman" w:hAnsi="Times New Roman" w:cs="Times New Roman"/>
          <w:b/>
          <w:sz w:val="24"/>
          <w:szCs w:val="24"/>
        </w:rPr>
        <w:t>una autorización al respecto deberá dar la oportunidad a las entidades municipales o distritales involucradas de participar activa y eficazmente en dic</w:t>
      </w:r>
      <w:r>
        <w:rPr>
          <w:rFonts w:ascii="Times New Roman" w:eastAsia="Times New Roman" w:hAnsi="Times New Roman" w:cs="Times New Roman"/>
          <w:b/>
          <w:sz w:val="24"/>
          <w:szCs w:val="24"/>
        </w:rPr>
        <w:t>ho proceso, mediante acuerdos sobre la protección de cuencas hídricas y la salubridad de la población, así como, del desarrollo económico, social y cultural de las comunidades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(subrayado fuera de texto).</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Entonces, de esta decisión de la Corte Constituci</w:t>
      </w:r>
      <w:r>
        <w:rPr>
          <w:rFonts w:ascii="Times New Roman" w:eastAsia="Times New Roman" w:hAnsi="Times New Roman" w:cs="Times New Roman"/>
          <w:sz w:val="24"/>
          <w:szCs w:val="24"/>
        </w:rPr>
        <w:t>onal pueden resaltarse cuatro elementos: en primer lugar, la Corte reconoce la tensión de principios constitucionales presente en la autorización sobre exploración y explotación minera; en segundo lugar, establece el  momento en que debe darse la participa</w:t>
      </w:r>
      <w:r>
        <w:rPr>
          <w:rFonts w:ascii="Times New Roman" w:eastAsia="Times New Roman" w:hAnsi="Times New Roman" w:cs="Times New Roman"/>
          <w:sz w:val="24"/>
          <w:szCs w:val="24"/>
        </w:rPr>
        <w:t>ción, esto es, en la autorización de la actividad minera; en tercer lugar, establece el instrumento que  materializará dicha participación, es decir, acuerdos sobre la protección de cuencas hídricas, salubridad de la población, desarrollo  económico, socia</w:t>
      </w:r>
      <w:r>
        <w:rPr>
          <w:rFonts w:ascii="Times New Roman" w:eastAsia="Times New Roman" w:hAnsi="Times New Roman" w:cs="Times New Roman"/>
          <w:sz w:val="24"/>
          <w:szCs w:val="24"/>
        </w:rPr>
        <w:t xml:space="preserve">l  y cultural  de las comunidades y por último, determina los actores concretos que participarán: las </w:t>
      </w:r>
      <w:r>
        <w:rPr>
          <w:rFonts w:ascii="Times New Roman" w:eastAsia="Times New Roman" w:hAnsi="Times New Roman" w:cs="Times New Roman"/>
          <w:sz w:val="24"/>
          <w:szCs w:val="24"/>
        </w:rPr>
        <w:lastRenderedPageBreak/>
        <w:t xml:space="preserve">entidades municipales o distritales y las autoridades  del  nivel  nacional. Elementos que guían el articulado propuesto en el presente proyecto de ley. </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numPr>
          <w:ilvl w:val="2"/>
          <w:numId w:val="2"/>
        </w:numPr>
        <w:ind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C-035 de 2016</w:t>
      </w:r>
    </w:p>
    <w:p w:rsidR="00D53093" w:rsidRDefault="00D53093" w:rsidP="00632951">
      <w:pPr>
        <w:ind w:left="2160"/>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sentencia C-035 de 2016 la Corte Constitucional analizó la constitucionalidad del artículo 20 de la Ley 1753 de 2015, Plan Nacional de Desarrollo 2014-2018, sobre Áreas de Reserva para el desarrollo minero. En esta ocasión, la Corte Constitucional de</w:t>
      </w:r>
      <w:r>
        <w:rPr>
          <w:rFonts w:ascii="Times New Roman" w:eastAsia="Times New Roman" w:hAnsi="Times New Roman" w:cs="Times New Roman"/>
          <w:sz w:val="24"/>
          <w:szCs w:val="24"/>
        </w:rPr>
        <w:t xml:space="preserve">claró la exequibilidad condicionada de dicha disposición legal “con fundamento en la </w:t>
      </w:r>
      <w:r>
        <w:rPr>
          <w:rFonts w:ascii="Times New Roman" w:eastAsia="Times New Roman" w:hAnsi="Times New Roman" w:cs="Times New Roman"/>
          <w:b/>
          <w:sz w:val="24"/>
          <w:szCs w:val="24"/>
        </w:rPr>
        <w:t>necesidad de armonizar la tensión constitucional entre las facultades del Estado para extraer recursos de su propiedad, y la autonomía de las entidades territoriales, en e</w:t>
      </w:r>
      <w:r>
        <w:rPr>
          <w:rFonts w:ascii="Times New Roman" w:eastAsia="Times New Roman" w:hAnsi="Times New Roman" w:cs="Times New Roman"/>
          <w:b/>
          <w:sz w:val="24"/>
          <w:szCs w:val="24"/>
        </w:rPr>
        <w:t>special para reglamentar los usos del suelo</w:t>
      </w:r>
      <w:r>
        <w:rPr>
          <w:rFonts w:ascii="Times New Roman" w:eastAsia="Times New Roman" w:hAnsi="Times New Roman" w:cs="Times New Roman"/>
          <w:sz w:val="24"/>
          <w:szCs w:val="24"/>
        </w:rPr>
        <w:t>” (subrayado fuera de texto). La Corte resaltó, nuevamente, que el artículo 332 de la Constitución establece que el Estado es propietario de los recursos del subsuelo, mientras que los artículos 287 y 288 de la Ca</w:t>
      </w:r>
      <w:r>
        <w:rPr>
          <w:rFonts w:ascii="Times New Roman" w:eastAsia="Times New Roman" w:hAnsi="Times New Roman" w:cs="Times New Roman"/>
          <w:sz w:val="24"/>
          <w:szCs w:val="24"/>
        </w:rPr>
        <w:t xml:space="preserve">rta disponen la autonomía de los municipios en el manejo de los asuntos que los afectan, la capacidad de planificar el desarrollo local y la facultad para reglamentar los usos del suelo dentro del municipio en cabeza de los concejos municipales.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 </w:t>
      </w:r>
      <w:r>
        <w:rPr>
          <w:rFonts w:ascii="Times New Roman" w:eastAsia="Times New Roman" w:hAnsi="Times New Roman" w:cs="Times New Roman"/>
          <w:sz w:val="24"/>
          <w:szCs w:val="24"/>
        </w:rPr>
        <w:t>de gran relevancia la aclaración que hizo la Corte Constitucional en este fallo en el sentido de sostener que “</w:t>
      </w:r>
      <w:r>
        <w:rPr>
          <w:rFonts w:ascii="Times New Roman" w:eastAsia="Times New Roman" w:hAnsi="Times New Roman" w:cs="Times New Roman"/>
          <w:b/>
          <w:sz w:val="24"/>
          <w:szCs w:val="24"/>
        </w:rPr>
        <w:t>si bien es cierto que el Estado es propietario de los recursos del subsuelo, la extracción de dichos recursos también afecta el uso del suelo</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subrayado fuera de texto) y la selección y oferta de áreas de reserva minera “pueden alterar la vocación de uso del suelo”</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La Corte también señaló que la disposición demandada, el artículo 20 del Plan Nacional de Desarrollo 2014-2018, “no consagra un mec</w:t>
      </w:r>
      <w:r>
        <w:rPr>
          <w:rFonts w:ascii="Times New Roman" w:eastAsia="Times New Roman" w:hAnsi="Times New Roman" w:cs="Times New Roman"/>
          <w:sz w:val="24"/>
          <w:szCs w:val="24"/>
        </w:rPr>
        <w:t>anismo para preservar la autonomía de las entidades territoriales para adoptar decisiones en las cuestiones que las afecten, ni su capacidad para reglamentar los usos del suelo, ni garantiza la participación ciudadana en las decisiones que los afectan”. En</w:t>
      </w:r>
      <w:r>
        <w:rPr>
          <w:rFonts w:ascii="Times New Roman" w:eastAsia="Times New Roman" w:hAnsi="Times New Roman" w:cs="Times New Roman"/>
          <w:sz w:val="24"/>
          <w:szCs w:val="24"/>
        </w:rPr>
        <w:t xml:space="preserve"> ese sentido, la Corte Constitucional consideró que para “</w:t>
      </w:r>
      <w:r>
        <w:rPr>
          <w:rFonts w:ascii="Times New Roman" w:eastAsia="Times New Roman" w:hAnsi="Times New Roman" w:cs="Times New Roman"/>
          <w:b/>
          <w:sz w:val="24"/>
          <w:szCs w:val="24"/>
        </w:rPr>
        <w:t>garantizar la armonización de las facultades de la nación y de los municipios conforme a los principios de coordinación, concurrencia y subsidiariedad, la Autoridad Nacional Minera y el Ministerio d</w:t>
      </w:r>
      <w:r>
        <w:rPr>
          <w:rFonts w:ascii="Times New Roman" w:eastAsia="Times New Roman" w:hAnsi="Times New Roman" w:cs="Times New Roman"/>
          <w:b/>
          <w:sz w:val="24"/>
          <w:szCs w:val="24"/>
        </w:rPr>
        <w:t>e Minas deben concertar la selección de las áreas de reserva especial minera con las autoridades municipales</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Siempre bajo el entendido de que debe garantizarse que la selección y oferta de las áreas de reserva especial minera “no sean incompatibles con</w:t>
      </w:r>
      <w:r>
        <w:rPr>
          <w:rFonts w:ascii="Times New Roman" w:eastAsia="Times New Roman" w:hAnsi="Times New Roman" w:cs="Times New Roman"/>
          <w:sz w:val="24"/>
          <w:szCs w:val="24"/>
        </w:rPr>
        <w:t xml:space="preserve"> los instrumentos de planeación de las entidades municipales donde están ubicadas, es decir, con los planes de ordenamiento territorial”. </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numPr>
          <w:ilvl w:val="2"/>
          <w:numId w:val="2"/>
        </w:numPr>
        <w:ind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C-273 de 2016</w:t>
      </w:r>
    </w:p>
    <w:p w:rsidR="00D53093" w:rsidRDefault="00D53093" w:rsidP="00632951">
      <w:pPr>
        <w:ind w:left="2160"/>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sentencia C-273 de </w:t>
      </w:r>
      <w:r w:rsidR="00192CD5">
        <w:rPr>
          <w:rFonts w:ascii="Times New Roman" w:eastAsia="Times New Roman" w:hAnsi="Times New Roman" w:cs="Times New Roman"/>
          <w:sz w:val="24"/>
          <w:szCs w:val="24"/>
        </w:rPr>
        <w:t>2016 de</w:t>
      </w:r>
      <w:r>
        <w:rPr>
          <w:rFonts w:ascii="Times New Roman" w:eastAsia="Times New Roman" w:hAnsi="Times New Roman" w:cs="Times New Roman"/>
          <w:sz w:val="24"/>
          <w:szCs w:val="24"/>
        </w:rPr>
        <w:t xml:space="preserve"> la Corte Constitucional analizó la tensión entre el Estado c</w:t>
      </w:r>
      <w:r>
        <w:rPr>
          <w:rFonts w:ascii="Times New Roman" w:eastAsia="Times New Roman" w:hAnsi="Times New Roman" w:cs="Times New Roman"/>
          <w:sz w:val="24"/>
          <w:szCs w:val="24"/>
        </w:rPr>
        <w:t>omo propietario del subsuelo y de los recursos naturales no renovables y los municipios y concejos municipales como encargados de la reglamentación de los usos del suelo. En esta ocasión, la Corte Constitucional decidió la inexequibilidad del artículo 37 d</w:t>
      </w:r>
      <w:r>
        <w:rPr>
          <w:rFonts w:ascii="Times New Roman" w:eastAsia="Times New Roman" w:hAnsi="Times New Roman" w:cs="Times New Roman"/>
          <w:sz w:val="24"/>
          <w:szCs w:val="24"/>
        </w:rPr>
        <w:t xml:space="preserve">el Código de Minas (cuya </w:t>
      </w:r>
      <w:r>
        <w:rPr>
          <w:rFonts w:ascii="Times New Roman" w:eastAsia="Times New Roman" w:hAnsi="Times New Roman" w:cs="Times New Roman"/>
          <w:sz w:val="24"/>
          <w:szCs w:val="24"/>
        </w:rPr>
        <w:lastRenderedPageBreak/>
        <w:t xml:space="preserve">exequibilidad condicionada había sido decretada anteriormente en la Sentencia C-123 de 2014) por vicios materiales.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Constitucional analizó los cargos de los demandantes según los cuales la prohibición legal del artículo </w:t>
      </w:r>
      <w:r>
        <w:rPr>
          <w:rFonts w:ascii="Times New Roman" w:eastAsia="Times New Roman" w:hAnsi="Times New Roman" w:cs="Times New Roman"/>
          <w:sz w:val="24"/>
          <w:szCs w:val="24"/>
        </w:rPr>
        <w:t xml:space="preserve">37 del Código de Minas se oponía al artículo 151 de la Constitución Política. Concretamente, los demandantes argumentaban que una disposición de la ley ordinaria no puede restringir la competencia de los territorios en una materia de gran importancia para </w:t>
      </w:r>
      <w:r>
        <w:rPr>
          <w:rFonts w:ascii="Times New Roman" w:eastAsia="Times New Roman" w:hAnsi="Times New Roman" w:cs="Times New Roman"/>
          <w:sz w:val="24"/>
          <w:szCs w:val="24"/>
        </w:rPr>
        <w:t>su planeación social y económica, como es la decisión sobre la autorización de minería en su territorio, pues la asignación de competencias a entidades territoriales corresponde a la ley orgánica. En este caso el problema jurídico resuelto por la Corte era</w:t>
      </w:r>
      <w:r>
        <w:rPr>
          <w:rFonts w:ascii="Times New Roman" w:eastAsia="Times New Roman" w:hAnsi="Times New Roman" w:cs="Times New Roman"/>
          <w:sz w:val="24"/>
          <w:szCs w:val="24"/>
        </w:rPr>
        <w:t xml:space="preserve"> si “¿se vulnera la reserva de ley orgánica cuando en una disposición contenida en una ley ordinaria el Congreso prohíbe a las autoridades del orden territorial establecer zonas excluidas de la minería, inclusive en los planes de ordenamiento territorial?”</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esa ocasión, la Corte Constitucional destacó los principios rectores para el ejercicio de las competencias de las entidades territoriales y de la nación entre los que destacan los principios de coordinación, según el cual la nación y las entidades</w:t>
      </w:r>
      <w:r>
        <w:rPr>
          <w:rFonts w:ascii="Times New Roman" w:eastAsia="Times New Roman" w:hAnsi="Times New Roman" w:cs="Times New Roman"/>
          <w:sz w:val="24"/>
          <w:szCs w:val="24"/>
        </w:rPr>
        <w:t xml:space="preserve"> territoriales deberán ejercer sus competencias de manera articulada, coherente y armónica y el principio de concurrencia según el cual debe haber acciones conjuntas entre la nación y las entidades territoriales en busca de un objetivo común cuando así est</w:t>
      </w:r>
      <w:r>
        <w:rPr>
          <w:rFonts w:ascii="Times New Roman" w:eastAsia="Times New Roman" w:hAnsi="Times New Roman" w:cs="Times New Roman"/>
          <w:sz w:val="24"/>
          <w:szCs w:val="24"/>
        </w:rPr>
        <w:t>é establecido con respecto de su autonomía. Esto, con el fin de decir que hay materias especialmente valiosas desde el punto de vista constitucional cuya regulación se reserva a determinados tipos de leyes, cuya expedición está sujeta a requisitos específi</w:t>
      </w:r>
      <w:r>
        <w:rPr>
          <w:rFonts w:ascii="Times New Roman" w:eastAsia="Times New Roman" w:hAnsi="Times New Roman" w:cs="Times New Roman"/>
          <w:sz w:val="24"/>
          <w:szCs w:val="24"/>
        </w:rPr>
        <w:t>cos. En este sentido, el constituyente dispuso una clasificación específica en el artículo 151 de la Constitución según el cual la asignación de competencias normativas a las entidades territoriales está sujeta a reserva de ley orgánica</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reserva de ley </w:t>
      </w:r>
      <w:r>
        <w:rPr>
          <w:rFonts w:ascii="Times New Roman" w:eastAsia="Times New Roman" w:hAnsi="Times New Roman" w:cs="Times New Roman"/>
          <w:sz w:val="24"/>
          <w:szCs w:val="24"/>
        </w:rPr>
        <w:t xml:space="preserve">orgánica supone en la práctica una doble restricción, por un lado, impone unas mayorías específicas para su aprobación, específicamente, requiere mayorías absolutas de los miembros de una y otra cámara y por otro  lado, el propósito de las leyes orgánicas </w:t>
      </w:r>
      <w:r>
        <w:rPr>
          <w:rFonts w:ascii="Times New Roman" w:eastAsia="Times New Roman" w:hAnsi="Times New Roman" w:cs="Times New Roman"/>
          <w:sz w:val="24"/>
          <w:szCs w:val="24"/>
        </w:rPr>
        <w:t xml:space="preserve">es regular las normas a las que debe sujetarse el ejercicio de la actividad legislativa, es decir, se trata de normas que rigen la adopción de otras normas y que demarcan los límites sustantivos y procedimentales a las autoridades que tienen a su cargo el </w:t>
      </w:r>
      <w:r>
        <w:rPr>
          <w:rFonts w:ascii="Times New Roman" w:eastAsia="Times New Roman" w:hAnsi="Times New Roman" w:cs="Times New Roman"/>
          <w:sz w:val="24"/>
          <w:szCs w:val="24"/>
        </w:rPr>
        <w:t xml:space="preserve">cumplimiento de funciones legislativas. Con esto, la Corte establece que una ley orgánica solo se puede sustituir por otra ley de igual o superior nivel.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Destacó la Corte que las leyes orgánicas tienen por propósito “establecer de manera general las paut</w:t>
      </w:r>
      <w:r>
        <w:rPr>
          <w:rFonts w:ascii="Times New Roman" w:eastAsia="Times New Roman" w:hAnsi="Times New Roman" w:cs="Times New Roman"/>
          <w:sz w:val="24"/>
          <w:szCs w:val="24"/>
        </w:rPr>
        <w:t>as para que el legislador ordinario desarrolle a futuro determinados temas por lo cual este tipo de ley se caracteriza por no entrar en los detalles y precisiones toda vez que si lo hace estaría petrificando el ejercicio de la actividad legislativa y vacia</w:t>
      </w:r>
      <w:r>
        <w:rPr>
          <w:rFonts w:ascii="Times New Roman" w:eastAsia="Times New Roman" w:hAnsi="Times New Roman" w:cs="Times New Roman"/>
          <w:sz w:val="24"/>
          <w:szCs w:val="24"/>
        </w:rPr>
        <w:t>ndo de contenido las competencias del legislador ordinario. Se trata en consecuencia de una “ley de trámites” sobre la legislación”</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Corte Constitucional determinó, entonces, la inexequibilidad del artículo 37 del Código de Minas y además expresó que</w:t>
      </w:r>
      <w:r>
        <w:rPr>
          <w:rFonts w:ascii="Times New Roman" w:eastAsia="Times New Roman" w:hAnsi="Times New Roman" w:cs="Times New Roman"/>
          <w:sz w:val="24"/>
          <w:szCs w:val="24"/>
        </w:rPr>
        <w:t xml:space="preserve">: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la organización del territorio a partir de su potencial minero, por sí mismo, corresponde al ejercicio de una actividad propia de la administración nacional, que se ajusta al carácter unitario del Estado. Sin embargo, el ejercicio de esta activida</w:t>
      </w:r>
      <w:r>
        <w:rPr>
          <w:rFonts w:ascii="Times New Roman" w:eastAsia="Times New Roman" w:hAnsi="Times New Roman" w:cs="Times New Roman"/>
          <w:sz w:val="24"/>
          <w:szCs w:val="24"/>
        </w:rPr>
        <w:t>d de ordenación del territorio de manera exclusiva por una entidad del nivel central sí puede tener un impacto significativo sobre la autonomía de las autoridades municipales para planificar y ordenar sus territorios. La extracción de recursos naturales no</w:t>
      </w:r>
      <w:r>
        <w:rPr>
          <w:rFonts w:ascii="Times New Roman" w:eastAsia="Times New Roman" w:hAnsi="Times New Roman" w:cs="Times New Roman"/>
          <w:sz w:val="24"/>
          <w:szCs w:val="24"/>
        </w:rPr>
        <w:t xml:space="preserve"> renovables no sólo afecta la disponibilidad de recursos en el subsuelo sino también modifica la vocación general del territorio, y en particular, la capacidad que tienen las autoridades territoriales para llevar a cabo un ordenamiento territorial autónomo</w:t>
      </w:r>
      <w:r>
        <w:rPr>
          <w:rFonts w:ascii="Times New Roman" w:eastAsia="Times New Roman" w:hAnsi="Times New Roman" w:cs="Times New Roman"/>
          <w:sz w:val="24"/>
          <w:szCs w:val="24"/>
        </w:rPr>
        <w:t>. En esa medida tiene que existir un mecanismo que permita la realización del principio de coordinación entre las competencias de la nación para regular y ordenar lo atinente a la extracción de recursos naturales no renovables y la competencia de las autor</w:t>
      </w:r>
      <w:r>
        <w:rPr>
          <w:rFonts w:ascii="Times New Roman" w:eastAsia="Times New Roman" w:hAnsi="Times New Roman" w:cs="Times New Roman"/>
          <w:sz w:val="24"/>
          <w:szCs w:val="24"/>
        </w:rPr>
        <w:t>idades municipales para planificar, gestionar sus intereses y ordenar su territorio, con criterios de autonomía”</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(subrayado fuera de texto).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cabe resaltar que la sentencia T-445 de 2016 precisa que “los entes territoriales poseen la competencia</w:t>
      </w:r>
      <w:r>
        <w:rPr>
          <w:rFonts w:ascii="Times New Roman" w:eastAsia="Times New Roman" w:hAnsi="Times New Roman" w:cs="Times New Roman"/>
          <w:sz w:val="24"/>
          <w:szCs w:val="24"/>
        </w:rPr>
        <w:t xml:space="preserve"> para regular el uso del suelo y garantizar la protección del medio ambiente, incluso si al ejercer dicha prerrogativa terminan prohibiendo la actividad minera”. Esa jurisprudencia resulta relevante, pues, en la concertación si bien se tiene la posibilidad</w:t>
      </w:r>
      <w:r>
        <w:rPr>
          <w:rFonts w:ascii="Times New Roman" w:eastAsia="Times New Roman" w:hAnsi="Times New Roman" w:cs="Times New Roman"/>
          <w:sz w:val="24"/>
          <w:szCs w:val="24"/>
        </w:rPr>
        <w:t xml:space="preserve"> de llegar a un acuerdo sobre la identificación de áreas para la realización de minería, persiste la opción de prohibir dicha actividad. </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numPr>
          <w:ilvl w:val="2"/>
          <w:numId w:val="2"/>
        </w:numPr>
        <w:ind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T - 445 de 2016 y el Auto 053 de 2017</w:t>
      </w:r>
    </w:p>
    <w:p w:rsidR="00D53093" w:rsidRDefault="00D53093" w:rsidP="00632951">
      <w:pPr>
        <w:ind w:left="2160"/>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w:t>
      </w:r>
      <w:r w:rsidR="00192CD5">
        <w:rPr>
          <w:rFonts w:ascii="Times New Roman" w:eastAsia="Times New Roman" w:hAnsi="Times New Roman" w:cs="Times New Roman"/>
          <w:sz w:val="24"/>
          <w:szCs w:val="24"/>
        </w:rPr>
        <w:t>sentencia la</w:t>
      </w:r>
      <w:r>
        <w:rPr>
          <w:rFonts w:ascii="Times New Roman" w:eastAsia="Times New Roman" w:hAnsi="Times New Roman" w:cs="Times New Roman"/>
          <w:sz w:val="24"/>
          <w:szCs w:val="24"/>
        </w:rPr>
        <w:t xml:space="preserve"> corte decide la tutela interpuesta por un habitante del municipio de Pijao, Quindío, que interpone dicha acción constitucional frente a la decisión del Tribunal Administrativo del Quindío que declaró la inconstitucionalidad de</w:t>
      </w:r>
      <w:r>
        <w:rPr>
          <w:rFonts w:ascii="Times New Roman" w:eastAsia="Times New Roman" w:hAnsi="Times New Roman" w:cs="Times New Roman"/>
          <w:sz w:val="24"/>
          <w:szCs w:val="24"/>
        </w:rPr>
        <w:t xml:space="preserve"> la c</w:t>
      </w:r>
      <w:r>
        <w:rPr>
          <w:rFonts w:ascii="Times New Roman" w:eastAsia="Times New Roman" w:hAnsi="Times New Roman" w:cs="Times New Roman"/>
          <w:sz w:val="24"/>
          <w:szCs w:val="24"/>
        </w:rPr>
        <w:t xml:space="preserve">onsulta popular propuesta por el alcalde del municipio de Pijao que preguntaba a los ciudadanos lo siguiente si estaba de acuerdo con que en el municipio </w:t>
      </w:r>
      <w:r w:rsidR="00192CD5">
        <w:rPr>
          <w:rFonts w:ascii="Times New Roman" w:eastAsia="Times New Roman" w:hAnsi="Times New Roman" w:cs="Times New Roman"/>
          <w:sz w:val="24"/>
          <w:szCs w:val="24"/>
        </w:rPr>
        <w:t>de Pijao</w:t>
      </w:r>
      <w:r>
        <w:rPr>
          <w:rFonts w:ascii="Times New Roman" w:eastAsia="Times New Roman" w:hAnsi="Times New Roman" w:cs="Times New Roman"/>
          <w:sz w:val="24"/>
          <w:szCs w:val="24"/>
        </w:rPr>
        <w:t xml:space="preserve"> se ejecutaran actividades asociadas a proyectos mineros.</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consideró necesario determinar si los municipios pueden prohibir o excluir de su territorio la actividad minera a través </w:t>
      </w:r>
      <w:r w:rsidR="004E401C">
        <w:rPr>
          <w:rFonts w:ascii="Times New Roman" w:eastAsia="Times New Roman" w:hAnsi="Times New Roman" w:cs="Times New Roman"/>
          <w:sz w:val="24"/>
          <w:szCs w:val="24"/>
        </w:rPr>
        <w:t>de una</w:t>
      </w:r>
      <w:r>
        <w:rPr>
          <w:rFonts w:ascii="Times New Roman" w:eastAsia="Times New Roman" w:hAnsi="Times New Roman" w:cs="Times New Roman"/>
          <w:sz w:val="24"/>
          <w:szCs w:val="24"/>
        </w:rPr>
        <w:t xml:space="preserve"> consulta popular y en uso de sus competencias para regular los usos del suelo y garantizar un medio ambiente sano. </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rente a esto, dicha Corporación encontró que la actividad minera afecta ámbitos de competencia de los municipios como la regulación de los usos del suelo, la protección de las cuencas hídricas y la salud de la población, por lo que teniendo en cuenta la se</w:t>
      </w:r>
      <w:r>
        <w:rPr>
          <w:rFonts w:ascii="Times New Roman" w:eastAsia="Times New Roman" w:hAnsi="Times New Roman" w:cs="Times New Roman"/>
          <w:sz w:val="24"/>
          <w:szCs w:val="24"/>
        </w:rPr>
        <w:t xml:space="preserve">ntencia C - 123 </w:t>
      </w:r>
      <w:r>
        <w:rPr>
          <w:rFonts w:ascii="Times New Roman" w:eastAsia="Times New Roman" w:hAnsi="Times New Roman" w:cs="Times New Roman"/>
          <w:sz w:val="24"/>
          <w:szCs w:val="24"/>
        </w:rPr>
        <w:lastRenderedPageBreak/>
        <w:t xml:space="preserve">de 2014 “los municipios sí tienen competencia para participar en estas decisiones, y que estas decisiones deben tomarse con su participación eficaz”, por lo cual, una consulta popular sobre este tipo de decisiones está dentro del ámbito de </w:t>
      </w:r>
      <w:r>
        <w:rPr>
          <w:rFonts w:ascii="Times New Roman" w:eastAsia="Times New Roman" w:hAnsi="Times New Roman" w:cs="Times New Roman"/>
          <w:sz w:val="24"/>
          <w:szCs w:val="24"/>
        </w:rPr>
        <w:t>competencia del municipio.</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lo anterior, la Corte decide precisar que los entes territoriales poseen la competencia para regular el uso del suelo y garantizar la protección del medio ambiente, incluso si al ejercer dicha prerrogativa terminan </w:t>
      </w:r>
      <w:r>
        <w:rPr>
          <w:rFonts w:ascii="Times New Roman" w:eastAsia="Times New Roman" w:hAnsi="Times New Roman" w:cs="Times New Roman"/>
          <w:sz w:val="24"/>
          <w:szCs w:val="24"/>
        </w:rPr>
        <w:t>prohibiendo la actividad minera y que la pregunta de la consulta vulnera la constitución por atentar contra la libertad del votante y no por desconocer las competencias constitucionales respecto del uso del suelo y la protección del medio ambiente del muni</w:t>
      </w:r>
      <w:r>
        <w:rPr>
          <w:rFonts w:ascii="Times New Roman" w:eastAsia="Times New Roman" w:hAnsi="Times New Roman" w:cs="Times New Roman"/>
          <w:sz w:val="24"/>
          <w:szCs w:val="24"/>
        </w:rPr>
        <w:t>cipio de Pijao.</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color w:val="2D2D2D"/>
          <w:sz w:val="24"/>
          <w:szCs w:val="24"/>
          <w:highlight w:val="white"/>
        </w:rPr>
      </w:pPr>
      <w:r>
        <w:rPr>
          <w:rFonts w:ascii="Times New Roman" w:eastAsia="Times New Roman" w:hAnsi="Times New Roman" w:cs="Times New Roman"/>
          <w:sz w:val="24"/>
          <w:szCs w:val="24"/>
        </w:rPr>
        <w:t xml:space="preserve">Contra la decisión consagrada en la sentencia T - 445 de 2016 se presentaron escritos de nulidad por parte de la </w:t>
      </w:r>
      <w:r>
        <w:rPr>
          <w:rFonts w:ascii="Times New Roman" w:eastAsia="Times New Roman" w:hAnsi="Times New Roman" w:cs="Times New Roman"/>
          <w:color w:val="2D2D2D"/>
          <w:sz w:val="24"/>
          <w:szCs w:val="24"/>
          <w:highlight w:val="white"/>
        </w:rPr>
        <w:t>Agencia Nacional de Minería, el Ministerio de Minas y Energía, la Asociación Colombiana de Minería, la Procuraduría General de</w:t>
      </w:r>
      <w:r>
        <w:rPr>
          <w:rFonts w:ascii="Times New Roman" w:eastAsia="Times New Roman" w:hAnsi="Times New Roman" w:cs="Times New Roman"/>
          <w:color w:val="2D2D2D"/>
          <w:sz w:val="24"/>
          <w:szCs w:val="24"/>
          <w:highlight w:val="white"/>
        </w:rPr>
        <w:t xml:space="preserve"> la Nación, entre otros. </w:t>
      </w:r>
    </w:p>
    <w:p w:rsidR="00D53093" w:rsidRDefault="00D53093" w:rsidP="00632951">
      <w:pPr>
        <w:jc w:val="both"/>
        <w:rPr>
          <w:rFonts w:ascii="Times New Roman" w:eastAsia="Times New Roman" w:hAnsi="Times New Roman" w:cs="Times New Roman"/>
          <w:color w:val="2D2D2D"/>
          <w:sz w:val="24"/>
          <w:szCs w:val="24"/>
          <w:highlight w:val="white"/>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color w:val="2D2D2D"/>
          <w:sz w:val="24"/>
          <w:szCs w:val="24"/>
          <w:highlight w:val="white"/>
        </w:rPr>
        <w:t>Por lo anterior, la Corte Constitucional en su sala Plena resolvió el asunto mediante el auto A-053 de 2017 en el que se concluye que “La decisión proferida por la Sala Sexta de Revisión, lejos de configurar un cambio en la juris</w:t>
      </w:r>
      <w:r>
        <w:rPr>
          <w:rFonts w:ascii="Times New Roman" w:eastAsia="Times New Roman" w:hAnsi="Times New Roman" w:cs="Times New Roman"/>
          <w:color w:val="2D2D2D"/>
          <w:sz w:val="24"/>
          <w:szCs w:val="24"/>
          <w:highlight w:val="white"/>
        </w:rPr>
        <w:t xml:space="preserve">prudencia, lo que hizo fue reiterar las subreglas de esta Corporación en lo relativo a la participación de las entidades territoriales en las decisiones sobre actividades mineras en su territorio, y a las competencias de éstas respecto de la regulación de </w:t>
      </w:r>
      <w:r>
        <w:rPr>
          <w:rFonts w:ascii="Times New Roman" w:eastAsia="Times New Roman" w:hAnsi="Times New Roman" w:cs="Times New Roman"/>
          <w:color w:val="2D2D2D"/>
          <w:sz w:val="24"/>
          <w:szCs w:val="24"/>
          <w:highlight w:val="white"/>
        </w:rPr>
        <w:t>los usos del suelo y la garantía de la protección del medio ambiente”.</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numPr>
          <w:ilvl w:val="2"/>
          <w:numId w:val="2"/>
        </w:numPr>
        <w:ind w:hanging="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Sentencia SU - 095 de 2018</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sentencia la Corte en sede de revisión decide de fondo sobre el amparo solicitado por la empresa Mansarovar Energy Colombia Ltda., que presentó acci</w:t>
      </w:r>
      <w:r>
        <w:rPr>
          <w:rFonts w:ascii="Times New Roman" w:eastAsia="Times New Roman" w:hAnsi="Times New Roman" w:cs="Times New Roman"/>
          <w:sz w:val="24"/>
          <w:szCs w:val="24"/>
        </w:rPr>
        <w:t>ón de tutela contra la sentencia proferida por el Tribunal Administrativo del Meta como resultado del trámite de</w:t>
      </w:r>
      <w:r>
        <w:rPr>
          <w:rFonts w:ascii="Times New Roman" w:eastAsia="Times New Roman" w:hAnsi="Times New Roman" w:cs="Times New Roman"/>
          <w:sz w:val="24"/>
          <w:szCs w:val="24"/>
        </w:rPr>
        <w:t xml:space="preserve"> la evaluación de la constitucionalidad de la convocatoria de Consulta Popular en el Municipio de Cumaral, Meta, respecto al desarrollo de ac</w:t>
      </w:r>
      <w:r>
        <w:rPr>
          <w:rFonts w:ascii="Times New Roman" w:eastAsia="Times New Roman" w:hAnsi="Times New Roman" w:cs="Times New Roman"/>
          <w:sz w:val="24"/>
          <w:szCs w:val="24"/>
        </w:rPr>
        <w:t>tividades de exploración y explotación de recursos del subsuelo.</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proceso se decidió revocar las sentencias de instancia de tutela que negaban el amparo constitucional y por el contrario, conceder el amparo solicitado, dejando sin efectos la decisi</w:t>
      </w:r>
      <w:r>
        <w:rPr>
          <w:rFonts w:ascii="Times New Roman" w:eastAsia="Times New Roman" w:hAnsi="Times New Roman" w:cs="Times New Roman"/>
          <w:sz w:val="24"/>
          <w:szCs w:val="24"/>
        </w:rPr>
        <w:t>ón del Tribunal Administrativo del Meta que declaró constitucional el trámite de la Consulta Popular en el municipio de Cumaral, Meta.</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Corte tras haber realizado una evaluación </w:t>
      </w:r>
      <w:r w:rsidR="004E401C">
        <w:rPr>
          <w:rFonts w:ascii="Times New Roman" w:eastAsia="Times New Roman" w:hAnsi="Times New Roman" w:cs="Times New Roman"/>
          <w:sz w:val="24"/>
          <w:szCs w:val="24"/>
        </w:rPr>
        <w:t>de la</w:t>
      </w:r>
      <w:r>
        <w:rPr>
          <w:rFonts w:ascii="Times New Roman" w:eastAsia="Times New Roman" w:hAnsi="Times New Roman" w:cs="Times New Roman"/>
          <w:sz w:val="24"/>
          <w:szCs w:val="24"/>
        </w:rPr>
        <w:t xml:space="preserve"> regulación existente en materia de exploración y explotación del sub</w:t>
      </w:r>
      <w:r>
        <w:rPr>
          <w:rFonts w:ascii="Times New Roman" w:eastAsia="Times New Roman" w:hAnsi="Times New Roman" w:cs="Times New Roman"/>
          <w:sz w:val="24"/>
          <w:szCs w:val="24"/>
        </w:rPr>
        <w:t xml:space="preserve">suelo y de los recursos naturales no renovables - RNNR, reconoce la existencia de un “déficit de protección constitucionalmente inadmisible” en la medida en que no existen mecanismos de participación ciudadana e instrumentos de coordinación y concurrencia </w:t>
      </w:r>
      <w:r>
        <w:rPr>
          <w:rFonts w:ascii="Times New Roman" w:eastAsia="Times New Roman" w:hAnsi="Times New Roman" w:cs="Times New Roman"/>
          <w:sz w:val="24"/>
          <w:szCs w:val="24"/>
        </w:rPr>
        <w:t xml:space="preserve">entre nación y territorio.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Teniendo en cuenta lo anterior, la Corte fundamentó la decisión en el argumento </w:t>
      </w:r>
      <w:r w:rsidR="004E401C">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a pesar del mencionado déficit de protección, la decisión del Tribunal Administrativo del Meta representa un defecto sustantivo por violación d</w:t>
      </w:r>
      <w:r>
        <w:rPr>
          <w:rFonts w:ascii="Times New Roman" w:eastAsia="Times New Roman" w:hAnsi="Times New Roman" w:cs="Times New Roman"/>
          <w:sz w:val="24"/>
          <w:szCs w:val="24"/>
        </w:rPr>
        <w:t xml:space="preserve">irecta de la constitución y desconocimiento del precedente en la medida en que desconoce competencias del nivel nacional radicadas en el gobierno central, y de los principios de coordinación y concurrencia consagrados en el artículo 288 constitucional. </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 Corte identifica que las comunidades que habitan el territorio y sus autoridades locales son las que mejor pueden identificar, evitar, prevenir y/o manejar riesgos sociales, económicos y ambientales por las operaciones minera e hidrocarburíferas. Por ell</w:t>
      </w:r>
      <w:r>
        <w:rPr>
          <w:rFonts w:ascii="Times New Roman" w:eastAsia="Times New Roman" w:hAnsi="Times New Roman" w:cs="Times New Roman"/>
          <w:sz w:val="24"/>
          <w:szCs w:val="24"/>
        </w:rPr>
        <w:t xml:space="preserve">o, reconoce que la no aplicación de los postulados en la materia puede prolongar y aumentar la desprotección, debido a que se </w:t>
      </w:r>
      <w:r w:rsidR="004E401C">
        <w:rPr>
          <w:rFonts w:ascii="Times New Roman" w:eastAsia="Times New Roman" w:hAnsi="Times New Roman" w:cs="Times New Roman"/>
          <w:sz w:val="24"/>
          <w:szCs w:val="24"/>
        </w:rPr>
        <w:t>generan tiene</w:t>
      </w:r>
      <w:r>
        <w:rPr>
          <w:rFonts w:ascii="Times New Roman" w:eastAsia="Times New Roman" w:hAnsi="Times New Roman" w:cs="Times New Roman"/>
          <w:sz w:val="24"/>
          <w:szCs w:val="24"/>
        </w:rPr>
        <w:t xml:space="preserve"> consecuencias perjudiciales en materia de efectos ambientales y sociales en los territorios.</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consideración de e</w:t>
      </w:r>
      <w:r>
        <w:rPr>
          <w:rFonts w:ascii="Times New Roman" w:eastAsia="Times New Roman" w:hAnsi="Times New Roman" w:cs="Times New Roman"/>
          <w:sz w:val="24"/>
          <w:szCs w:val="24"/>
        </w:rPr>
        <w:t>ste déficit de protección, la sala plena de la Corte Constitucional, decidió exhortar al congreso para que “en el menor tiempo posible defina uno o varios mecanismos de participación ciudadana y uno o varios instrumentos de coordinación y concurrencia naci</w:t>
      </w:r>
      <w:r>
        <w:rPr>
          <w:rFonts w:ascii="Times New Roman" w:eastAsia="Times New Roman" w:hAnsi="Times New Roman" w:cs="Times New Roman"/>
          <w:sz w:val="24"/>
          <w:szCs w:val="24"/>
        </w:rPr>
        <w:t>ón territorio, con fundamento en la parte motiva de esta providencia”.</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criterios que se mencionan en la parte motiva se transcriben a continuación:</w:t>
      </w:r>
    </w:p>
    <w:p w:rsidR="00D53093" w:rsidRDefault="00D53093" w:rsidP="00632951">
      <w:pPr>
        <w:jc w:val="both"/>
        <w:rPr>
          <w:rFonts w:ascii="Times New Roman" w:eastAsia="Times New Roman" w:hAnsi="Times New Roman" w:cs="Times New Roman"/>
          <w:sz w:val="24"/>
          <w:szCs w:val="24"/>
        </w:rPr>
      </w:pPr>
    </w:p>
    <w:p w:rsidR="00D53093" w:rsidRDefault="002331E2" w:rsidP="00632951">
      <w:pPr>
        <w:ind w:left="720"/>
        <w:jc w:val="both"/>
        <w:rPr>
          <w:rFonts w:ascii="Times New Roman" w:eastAsia="Times New Roman" w:hAnsi="Times New Roman" w:cs="Times New Roman"/>
          <w:i/>
          <w:highlight w:val="white"/>
        </w:rPr>
      </w:pPr>
      <w:r>
        <w:rPr>
          <w:rFonts w:ascii="Times New Roman" w:eastAsia="Times New Roman" w:hAnsi="Times New Roman" w:cs="Times New Roman"/>
          <w:i/>
        </w:rPr>
        <w:t>“</w:t>
      </w:r>
      <w:r>
        <w:rPr>
          <w:rFonts w:ascii="Times New Roman" w:eastAsia="Times New Roman" w:hAnsi="Times New Roman" w:cs="Times New Roman"/>
          <w:b/>
          <w:i/>
          <w:highlight w:val="white"/>
        </w:rPr>
        <w:t>1.</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Participación ciudadana y pluralidad.</w:t>
      </w:r>
      <w:r>
        <w:rPr>
          <w:rFonts w:ascii="Times New Roman" w:eastAsia="Times New Roman" w:hAnsi="Times New Roman" w:cs="Times New Roman"/>
          <w:i/>
          <w:highlight w:val="white"/>
        </w:rPr>
        <w:t xml:space="preserve"> Implica el reconocimiento de la democracia participativa, con base en la necesidad y pertinencia de intervención del pueblo, con sujeción al grado de complejidad de la materia que se decide y los procedimientos y canales institucionales que prevé la Const</w:t>
      </w:r>
      <w:r>
        <w:rPr>
          <w:rFonts w:ascii="Times New Roman" w:eastAsia="Times New Roman" w:hAnsi="Times New Roman" w:cs="Times New Roman"/>
          <w:i/>
          <w:highlight w:val="white"/>
        </w:rPr>
        <w:t>itución, con la finalidad de promover el interés general, y respetar las competencias de los órganos de representación del pueblo que han sido elegidos mediante voto popular.</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Debe prever características de: gradualidad, disponibilidad, acceso, calidad, per</w:t>
      </w:r>
      <w:r>
        <w:rPr>
          <w:rFonts w:ascii="Times New Roman" w:eastAsia="Times New Roman" w:hAnsi="Times New Roman" w:cs="Times New Roman"/>
          <w:i/>
          <w:highlight w:val="white"/>
        </w:rPr>
        <w:t xml:space="preserve">manencia, diálogo y </w:t>
      </w:r>
      <w:r w:rsidR="004E401C">
        <w:rPr>
          <w:rFonts w:ascii="Times New Roman" w:eastAsia="Times New Roman" w:hAnsi="Times New Roman" w:cs="Times New Roman"/>
          <w:i/>
          <w:highlight w:val="white"/>
        </w:rPr>
        <w:t>comunicación –</w:t>
      </w:r>
      <w:r>
        <w:rPr>
          <w:rFonts w:ascii="Times New Roman" w:eastAsia="Times New Roman" w:hAnsi="Times New Roman" w:cs="Times New Roman"/>
          <w:i/>
          <w:highlight w:val="white"/>
        </w:rPr>
        <w:t xml:space="preserve"> sin limitarse solamente a espacios de socialización e información-, diálogo consiente y responsable, publicidad, efectividad y eficacia, teniendo en cuenta el principio constitucional de pluralismo que implica la coexist</w:t>
      </w:r>
      <w:r>
        <w:rPr>
          <w:rFonts w:ascii="Times New Roman" w:eastAsia="Times New Roman" w:hAnsi="Times New Roman" w:cs="Times New Roman"/>
          <w:i/>
          <w:highlight w:val="white"/>
        </w:rPr>
        <w:t>encia de diferentes ideas, razas, géneros, orígenes, religiones, instituciones o grupos sociales.</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b/>
          <w:i/>
          <w:highlight w:val="white"/>
        </w:rPr>
        <w:t xml:space="preserve">2. Coordinación y concurrencia nación territorio. </w:t>
      </w:r>
      <w:r>
        <w:rPr>
          <w:rFonts w:ascii="Times New Roman" w:eastAsia="Times New Roman" w:hAnsi="Times New Roman" w:cs="Times New Roman"/>
          <w:i/>
          <w:highlight w:val="white"/>
        </w:rPr>
        <w:t>Garantizar un grado de participación razonable y efectivo de los municipios y distritos en el proceso de dec</w:t>
      </w:r>
      <w:r>
        <w:rPr>
          <w:rFonts w:ascii="Times New Roman" w:eastAsia="Times New Roman" w:hAnsi="Times New Roman" w:cs="Times New Roman"/>
          <w:i/>
          <w:highlight w:val="white"/>
        </w:rPr>
        <w:t>isión respecto a las actividades de exploración o de explotación del subsuelo y los RNNR. Las posiciones y opiniones de las entidades territoriales deben ser expresadas a través de los órganos legítimos de representación, tener una influencia apreciable en</w:t>
      </w:r>
      <w:r>
        <w:rPr>
          <w:rFonts w:ascii="Times New Roman" w:eastAsia="Times New Roman" w:hAnsi="Times New Roman" w:cs="Times New Roman"/>
          <w:i/>
          <w:highlight w:val="white"/>
        </w:rPr>
        <w:t xml:space="preserve"> la toma decisiones, sobre todo en aspectos centrales a la vida del municipio en materia ambiental y social, sin perjuicio de las competencias del nivel nacional.</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b/>
          <w:i/>
          <w:highlight w:val="white"/>
          <w:u w:val="single"/>
        </w:rPr>
      </w:pPr>
      <w:r>
        <w:rPr>
          <w:rFonts w:ascii="Times New Roman" w:eastAsia="Times New Roman" w:hAnsi="Times New Roman" w:cs="Times New Roman"/>
          <w:b/>
          <w:i/>
          <w:highlight w:val="white"/>
        </w:rPr>
        <w:t>3.</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Inexistencia de un poder de veto de las entidades territoriales para la exploración y expl</w:t>
      </w:r>
      <w:r>
        <w:rPr>
          <w:rFonts w:ascii="Times New Roman" w:eastAsia="Times New Roman" w:hAnsi="Times New Roman" w:cs="Times New Roman"/>
          <w:b/>
          <w:i/>
          <w:highlight w:val="white"/>
        </w:rPr>
        <w:t xml:space="preserve">otación del subsuelo y de recursos naturales no renovables. </w:t>
      </w:r>
      <w:r>
        <w:rPr>
          <w:rFonts w:ascii="Times New Roman" w:eastAsia="Times New Roman" w:hAnsi="Times New Roman" w:cs="Times New Roman"/>
          <w:i/>
          <w:highlight w:val="white"/>
        </w:rPr>
        <w:t xml:space="preserve">De acuerdo con los postulados constitucionales que prevén la explotación del subsuelo y los RNNR, su propiedad en cabeza del Estado </w:t>
      </w:r>
      <w:r w:rsidR="004E401C">
        <w:rPr>
          <w:rFonts w:ascii="Times New Roman" w:eastAsia="Times New Roman" w:hAnsi="Times New Roman" w:cs="Times New Roman"/>
          <w:i/>
          <w:highlight w:val="white"/>
        </w:rPr>
        <w:t>y las</w:t>
      </w:r>
      <w:r>
        <w:rPr>
          <w:rFonts w:ascii="Times New Roman" w:eastAsia="Times New Roman" w:hAnsi="Times New Roman" w:cs="Times New Roman"/>
          <w:i/>
          <w:highlight w:val="white"/>
        </w:rPr>
        <w:t xml:space="preserve"> competencias de las entidades territoriales y de la nació</w:t>
      </w:r>
      <w:r>
        <w:rPr>
          <w:rFonts w:ascii="Times New Roman" w:eastAsia="Times New Roman" w:hAnsi="Times New Roman" w:cs="Times New Roman"/>
          <w:i/>
          <w:highlight w:val="white"/>
        </w:rPr>
        <w:t xml:space="preserve">n –gobierno nacional </w:t>
      </w:r>
      <w:r>
        <w:rPr>
          <w:rFonts w:ascii="Times New Roman" w:eastAsia="Times New Roman" w:hAnsi="Times New Roman" w:cs="Times New Roman"/>
          <w:i/>
          <w:highlight w:val="white"/>
        </w:rPr>
        <w:lastRenderedPageBreak/>
        <w:t>central- sobre el suelo, el ordenamiento territorial, el subsuelo y los RNNR, las entidades territoriales no pueden prohibir el desarrollo de actividades y operaciones para tales fines en su jurisdicción.</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b/>
          <w:i/>
          <w:highlight w:val="white"/>
        </w:rPr>
        <w:t>4.</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Diferencialidad / Gradualid</w:t>
      </w:r>
      <w:r>
        <w:rPr>
          <w:rFonts w:ascii="Times New Roman" w:eastAsia="Times New Roman" w:hAnsi="Times New Roman" w:cs="Times New Roman"/>
          <w:b/>
          <w:i/>
          <w:highlight w:val="white"/>
        </w:rPr>
        <w:t>ad</w:t>
      </w:r>
      <w:r>
        <w:rPr>
          <w:rFonts w:ascii="Times New Roman" w:eastAsia="Times New Roman" w:hAnsi="Times New Roman" w:cs="Times New Roman"/>
          <w:i/>
          <w:highlight w:val="white"/>
        </w:rPr>
        <w:t xml:space="preserve">. Los Mecanismos de participación ciudadana e instrumentos de coordinación y concurrencia nación territorio deben ser diferenciales, con relación a: </w:t>
      </w:r>
      <w:r>
        <w:rPr>
          <w:rFonts w:ascii="Times New Roman" w:eastAsia="Times New Roman" w:hAnsi="Times New Roman" w:cs="Times New Roman"/>
          <w:b/>
          <w:i/>
          <w:highlight w:val="white"/>
        </w:rPr>
        <w:t>(i)</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u w:val="single"/>
        </w:rPr>
        <w:t>La existencia de etapas o fases para la exploración y explotación del subsuelo o de RNNR.</w:t>
      </w:r>
      <w:r>
        <w:rPr>
          <w:rFonts w:ascii="Times New Roman" w:eastAsia="Times New Roman" w:hAnsi="Times New Roman" w:cs="Times New Roman"/>
          <w:i/>
          <w:highlight w:val="white"/>
        </w:rPr>
        <w:t xml:space="preserve"> La particip</w:t>
      </w:r>
      <w:r>
        <w:rPr>
          <w:rFonts w:ascii="Times New Roman" w:eastAsia="Times New Roman" w:hAnsi="Times New Roman" w:cs="Times New Roman"/>
          <w:i/>
          <w:highlight w:val="white"/>
        </w:rPr>
        <w:t>ación ciudadana y la coordinación y concurrencia nación territorio deberán respetarse, protegerse y garantizarse durante todas las fases de realización de acciones o actividades de hidrocarburos o de minería. Así, teniendo en cuenta la etapa o la fase para</w:t>
      </w:r>
      <w:r>
        <w:rPr>
          <w:rFonts w:ascii="Times New Roman" w:eastAsia="Times New Roman" w:hAnsi="Times New Roman" w:cs="Times New Roman"/>
          <w:i/>
          <w:highlight w:val="white"/>
        </w:rPr>
        <w:t xml:space="preserve"> la determinación o definición de áreas donde se encuentren yacimientos de RNNR o de concesión de estos, deberán diseñarse mecanismos o instrumentos que correspondan a los efectos de cada fase en forma proporcional a la dimensión de los impactos. Así, los </w:t>
      </w:r>
      <w:r>
        <w:rPr>
          <w:rFonts w:ascii="Times New Roman" w:eastAsia="Times New Roman" w:hAnsi="Times New Roman" w:cs="Times New Roman"/>
          <w:i/>
          <w:highlight w:val="white"/>
        </w:rPr>
        <w:t>mecanismos de participación ciudadana y los instrumentos de coordinación y concurrencia nación territorio deben ser permanentes en las fases de planeación, ejecución y seguimiento, en donde pueden establecerse mecanismos informativos (por ejemplo, en la de</w:t>
      </w:r>
      <w:r>
        <w:rPr>
          <w:rFonts w:ascii="Times New Roman" w:eastAsia="Times New Roman" w:hAnsi="Times New Roman" w:cs="Times New Roman"/>
          <w:i/>
          <w:highlight w:val="white"/>
        </w:rPr>
        <w:t xml:space="preserve">finición de las áreas a concesionar) y otros de participación de las comunidades (por ejemplo, para la evaluación específica de impactos por la operación de los proyectos), para así mantener seguimiento ex ante y ex post de los proyectos; </w:t>
      </w:r>
      <w:r>
        <w:rPr>
          <w:rFonts w:ascii="Times New Roman" w:eastAsia="Times New Roman" w:hAnsi="Times New Roman" w:cs="Times New Roman"/>
          <w:b/>
          <w:i/>
          <w:highlight w:val="white"/>
        </w:rPr>
        <w:t xml:space="preserve">(ii) </w:t>
      </w:r>
      <w:r>
        <w:rPr>
          <w:rFonts w:ascii="Times New Roman" w:eastAsia="Times New Roman" w:hAnsi="Times New Roman" w:cs="Times New Roman"/>
          <w:i/>
          <w:highlight w:val="white"/>
          <w:u w:val="single"/>
        </w:rPr>
        <w:t>la afectació</w:t>
      </w:r>
      <w:r>
        <w:rPr>
          <w:rFonts w:ascii="Times New Roman" w:eastAsia="Times New Roman" w:hAnsi="Times New Roman" w:cs="Times New Roman"/>
          <w:i/>
          <w:highlight w:val="white"/>
          <w:u w:val="single"/>
        </w:rPr>
        <w:t>n generada a las comunidades</w:t>
      </w:r>
      <w:r>
        <w:rPr>
          <w:rFonts w:ascii="Times New Roman" w:eastAsia="Times New Roman" w:hAnsi="Times New Roman" w:cs="Times New Roman"/>
          <w:i/>
          <w:highlight w:val="white"/>
        </w:rPr>
        <w:t xml:space="preserve"> asentadas en los municipios de desarrollo de actividades y su ubicación, diferenciando aquellas comunidades ubicadas en áreas de afectación directa de los proyectos y a las ubicadas en áreas de afectación indirecta a los mismos</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(iii)</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u w:val="single"/>
        </w:rPr>
        <w:t>la dimensión de los proyectos</w:t>
      </w:r>
      <w:r>
        <w:rPr>
          <w:rFonts w:ascii="Times New Roman" w:eastAsia="Times New Roman" w:hAnsi="Times New Roman" w:cs="Times New Roman"/>
          <w:i/>
          <w:highlight w:val="white"/>
        </w:rPr>
        <w:t xml:space="preserve"> de hidrocarburos o de minería, y en éste último caso si se trata de pequeña, mediana o de minería a gran escala; y la especificidad de los proyectos, la tecnicidad y complejidad de los mismos, como por ejemplo la etapa</w:t>
      </w:r>
      <w:r>
        <w:rPr>
          <w:rFonts w:ascii="Times New Roman" w:eastAsia="Times New Roman" w:hAnsi="Times New Roman" w:cs="Times New Roman"/>
          <w:i/>
          <w:highlight w:val="white"/>
        </w:rPr>
        <w:t xml:space="preserve"> o fase de exploración o explotación que se adelante la cadena del sector hidrocarburos tratándose así de exploración sísmica, exploración perforatoria, producción; o en el caso de proyectos mineros de exploración, construcción y montaje o explotación. </w:t>
      </w:r>
      <w:r>
        <w:rPr>
          <w:rFonts w:ascii="Times New Roman" w:eastAsia="Times New Roman" w:hAnsi="Times New Roman" w:cs="Times New Roman"/>
          <w:b/>
          <w:i/>
          <w:highlight w:val="white"/>
        </w:rPr>
        <w:t>(iv</w:t>
      </w:r>
      <w:r>
        <w:rPr>
          <w:rFonts w:ascii="Times New Roman" w:eastAsia="Times New Roman" w:hAnsi="Times New Roman" w:cs="Times New Roman"/>
          <w:b/>
          <w:i/>
          <w:highlight w:val="white"/>
        </w:rPr>
        <w:t>)</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u w:val="single"/>
        </w:rPr>
        <w:t>la magnitud del impacto de los proyectos</w:t>
      </w:r>
      <w:r>
        <w:rPr>
          <w:rFonts w:ascii="Times New Roman" w:eastAsia="Times New Roman" w:hAnsi="Times New Roman" w:cs="Times New Roman"/>
          <w:i/>
          <w:highlight w:val="white"/>
        </w:rPr>
        <w:t xml:space="preserve"> de hidrocarburos o de minería, en este último caso igualmente por ejemplo la diferenciación en el desarrollo de un proyecto de minería a cielo abierto o subterránea o de socavón; </w:t>
      </w:r>
      <w:r>
        <w:rPr>
          <w:rFonts w:ascii="Times New Roman" w:eastAsia="Times New Roman" w:hAnsi="Times New Roman" w:cs="Times New Roman"/>
          <w:b/>
          <w:i/>
          <w:highlight w:val="white"/>
        </w:rPr>
        <w:t>(v)</w:t>
      </w:r>
      <w:r>
        <w:rPr>
          <w:rFonts w:ascii="Times New Roman" w:eastAsia="Times New Roman" w:hAnsi="Times New Roman" w:cs="Times New Roman"/>
          <w:i/>
          <w:highlight w:val="white"/>
        </w:rPr>
        <w:t xml:space="preserve"> </w:t>
      </w:r>
      <w:r>
        <w:rPr>
          <w:rFonts w:ascii="Times New Roman" w:eastAsia="Times New Roman" w:hAnsi="Times New Roman" w:cs="Times New Roman"/>
          <w:i/>
          <w:highlight w:val="white"/>
          <w:u w:val="single"/>
        </w:rPr>
        <w:t>la complejidad y el carácter t</w:t>
      </w:r>
      <w:r>
        <w:rPr>
          <w:rFonts w:ascii="Times New Roman" w:eastAsia="Times New Roman" w:hAnsi="Times New Roman" w:cs="Times New Roman"/>
          <w:i/>
          <w:highlight w:val="white"/>
          <w:u w:val="single"/>
        </w:rPr>
        <w:t>écnico de las decisiones a tomar</w:t>
      </w:r>
      <w:r>
        <w:rPr>
          <w:rFonts w:ascii="Times New Roman" w:eastAsia="Times New Roman" w:hAnsi="Times New Roman" w:cs="Times New Roman"/>
          <w:i/>
          <w:highlight w:val="white"/>
        </w:rPr>
        <w:t>, que implica que en algunos casos la participación ciudadana se lleve a cabo a través de los representantes legítimos de la población como son las autoridades locales elegidas mediante el voto como mecanismo de participació</w:t>
      </w:r>
      <w:r>
        <w:rPr>
          <w:rFonts w:ascii="Times New Roman" w:eastAsia="Times New Roman" w:hAnsi="Times New Roman" w:cs="Times New Roman"/>
          <w:i/>
          <w:highlight w:val="white"/>
        </w:rPr>
        <w:t>n ciudadana.</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5.</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 xml:space="preserve">Enfoque Territorial. </w:t>
      </w:r>
      <w:r>
        <w:rPr>
          <w:rFonts w:ascii="Times New Roman" w:eastAsia="Times New Roman" w:hAnsi="Times New Roman" w:cs="Times New Roman"/>
          <w:i/>
          <w:highlight w:val="white"/>
        </w:rPr>
        <w:t>Deben considerarse las situaciones, características, necesidades, y especificidades ambientales, regionales, económicas, culturales y sociales de los territorios y las comunidades, propendiendo por su sostenibilidad amb</w:t>
      </w:r>
      <w:r>
        <w:rPr>
          <w:rFonts w:ascii="Times New Roman" w:eastAsia="Times New Roman" w:hAnsi="Times New Roman" w:cs="Times New Roman"/>
          <w:i/>
          <w:highlight w:val="white"/>
        </w:rPr>
        <w:t>iental, económica y social y el fortalecimiento de los entes territoriales.</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6.</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 xml:space="preserve">Legitimidad y Representatividad. </w:t>
      </w:r>
      <w:r>
        <w:rPr>
          <w:rFonts w:ascii="Times New Roman" w:eastAsia="Times New Roman" w:hAnsi="Times New Roman" w:cs="Times New Roman"/>
          <w:i/>
          <w:highlight w:val="white"/>
        </w:rPr>
        <w:t>Debe tenerse en cuenta que las autoridades de las entidades territoriales, en el marco de la democracia participativa, representan a la ciudadan</w:t>
      </w:r>
      <w:r>
        <w:rPr>
          <w:rFonts w:ascii="Times New Roman" w:eastAsia="Times New Roman" w:hAnsi="Times New Roman" w:cs="Times New Roman"/>
          <w:i/>
          <w:highlight w:val="white"/>
        </w:rPr>
        <w:t xml:space="preserve">ía y por tal razón en algunos casos la participación ciudadana puede realizarse a través de los representantes, en razón de la complejidad de las decisiones a tomar y de los procedimientos que se establezcan para ello. </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b/>
          <w:i/>
          <w:highlight w:val="white"/>
        </w:rPr>
        <w:t>7.</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Información previa, permanente, t</w:t>
      </w:r>
      <w:r>
        <w:rPr>
          <w:rFonts w:ascii="Times New Roman" w:eastAsia="Times New Roman" w:hAnsi="Times New Roman" w:cs="Times New Roman"/>
          <w:b/>
          <w:i/>
          <w:highlight w:val="white"/>
        </w:rPr>
        <w:t>ransparente, clara y suficiente</w:t>
      </w:r>
      <w:r>
        <w:rPr>
          <w:rFonts w:ascii="Times New Roman" w:eastAsia="Times New Roman" w:hAnsi="Times New Roman" w:cs="Times New Roman"/>
          <w:i/>
          <w:highlight w:val="white"/>
        </w:rPr>
        <w:t xml:space="preserve">. Entrega permanente de información a autoridades locales y comunidades que se suministre desde la determinación de </w:t>
      </w:r>
      <w:r>
        <w:rPr>
          <w:rFonts w:ascii="Times New Roman" w:eastAsia="Times New Roman" w:hAnsi="Times New Roman" w:cs="Times New Roman"/>
          <w:i/>
          <w:highlight w:val="white"/>
        </w:rPr>
        <w:lastRenderedPageBreak/>
        <w:t>áreas donde se encuentren yacimientos, el procedimiento para la asignación de contratos de concesión, la ejec</w:t>
      </w:r>
      <w:r>
        <w:rPr>
          <w:rFonts w:ascii="Times New Roman" w:eastAsia="Times New Roman" w:hAnsi="Times New Roman" w:cs="Times New Roman"/>
          <w:i/>
          <w:highlight w:val="white"/>
        </w:rPr>
        <w:t xml:space="preserve">ución de las actividades de exploración y explotación de los recursos del subsuelo o RNNR, y la </w:t>
      </w:r>
      <w:r w:rsidR="004E401C">
        <w:rPr>
          <w:rFonts w:ascii="Times New Roman" w:eastAsia="Times New Roman" w:hAnsi="Times New Roman" w:cs="Times New Roman"/>
          <w:i/>
          <w:highlight w:val="white"/>
        </w:rPr>
        <w:t>terminación de</w:t>
      </w:r>
      <w:r>
        <w:rPr>
          <w:rFonts w:ascii="Times New Roman" w:eastAsia="Times New Roman" w:hAnsi="Times New Roman" w:cs="Times New Roman"/>
          <w:i/>
          <w:highlight w:val="white"/>
        </w:rPr>
        <w:t xml:space="preserve"> los contratos, así como el cierre de los proyectos.</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i/>
          <w:highlight w:val="white"/>
        </w:rPr>
        <w:t>Implica la necesidad de que el Estado cuente con sistemas de información públicos que conten</w:t>
      </w:r>
      <w:r>
        <w:rPr>
          <w:rFonts w:ascii="Times New Roman" w:eastAsia="Times New Roman" w:hAnsi="Times New Roman" w:cs="Times New Roman"/>
          <w:i/>
          <w:highlight w:val="white"/>
        </w:rPr>
        <w:t>gan en forma organizada y completa la información de los proyectos de exploración y explotación de recursos del subsuelo – como mínimo referente a los procesos de selección de contratistas o de propuestas de contratos de concesión, los contratos de concesi</w:t>
      </w:r>
      <w:r>
        <w:rPr>
          <w:rFonts w:ascii="Times New Roman" w:eastAsia="Times New Roman" w:hAnsi="Times New Roman" w:cs="Times New Roman"/>
          <w:i/>
          <w:highlight w:val="white"/>
        </w:rPr>
        <w:t>ón suscritos, el estado de los trámites y gestiones ambientales y sociales, las inversiones sociales, las regalías generadas, entre otros aspectos-, como instrumento de divulgación y publicidad de las operaciones del sector, con el fin de contribuir a la g</w:t>
      </w:r>
      <w:r>
        <w:rPr>
          <w:rFonts w:ascii="Times New Roman" w:eastAsia="Times New Roman" w:hAnsi="Times New Roman" w:cs="Times New Roman"/>
          <w:i/>
          <w:highlight w:val="white"/>
        </w:rPr>
        <w:t>obernanza y el fortalecimiento institucional, que redunde en transparencia e información para las comunidades y la población en general del país.</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b/>
          <w:i/>
          <w:highlight w:val="white"/>
        </w:rPr>
        <w:t>8.</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 xml:space="preserve">Desarrollo sostenible. </w:t>
      </w:r>
      <w:r>
        <w:rPr>
          <w:rFonts w:ascii="Times New Roman" w:eastAsia="Times New Roman" w:hAnsi="Times New Roman" w:cs="Times New Roman"/>
          <w:i/>
          <w:highlight w:val="white"/>
        </w:rPr>
        <w:t>Equilibrio entre el crecimiento económico, el bienestar social y la protección ambie</w:t>
      </w:r>
      <w:r>
        <w:rPr>
          <w:rFonts w:ascii="Times New Roman" w:eastAsia="Times New Roman" w:hAnsi="Times New Roman" w:cs="Times New Roman"/>
          <w:i/>
          <w:highlight w:val="white"/>
        </w:rPr>
        <w:t>ntal, bajo el supuesto de que las actuaciones presentes deben asegurar la posibilidad de aprovechamiento de los recursos en el porvenir</w:t>
      </w:r>
      <w:hyperlink r:id="rId7" w:anchor="_ftn291">
        <w:r>
          <w:rPr>
            <w:rFonts w:ascii="Times New Roman" w:eastAsia="Times New Roman" w:hAnsi="Times New Roman" w:cs="Times New Roman"/>
            <w:i/>
            <w:color w:val="954F72"/>
            <w:highlight w:val="white"/>
            <w:u w:val="single"/>
          </w:rPr>
          <w:t>[291]</w:t>
        </w:r>
      </w:hyperlink>
      <w:r>
        <w:rPr>
          <w:rFonts w:ascii="Times New Roman" w:eastAsia="Times New Roman" w:hAnsi="Times New Roman" w:cs="Times New Roman"/>
          <w:i/>
          <w:highlight w:val="white"/>
        </w:rPr>
        <w:t>, como un derecho de los ciudadanos y como un deber del Estado, en el sentido de que éste debe propugnar por “un desarrollo sin un aumento en el consumo de recursos que supere la capacidad de carga del medio ambiente”</w:t>
      </w:r>
      <w:hyperlink r:id="rId8" w:anchor="_ftn292">
        <w:r>
          <w:rPr>
            <w:rFonts w:ascii="Times New Roman" w:eastAsia="Times New Roman" w:hAnsi="Times New Roman" w:cs="Times New Roman"/>
            <w:i/>
            <w:color w:val="954F72"/>
            <w:highlight w:val="white"/>
            <w:u w:val="single"/>
          </w:rPr>
          <w:t>[292]</w:t>
        </w:r>
      </w:hyperlink>
      <w:r>
        <w:rPr>
          <w:rFonts w:ascii="Times New Roman" w:eastAsia="Times New Roman" w:hAnsi="Times New Roman" w:cs="Times New Roman"/>
          <w:i/>
          <w:highlight w:val="white"/>
        </w:rPr>
        <w:t>.</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9.</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 xml:space="preserve">Diálogo, </w:t>
      </w:r>
      <w:r w:rsidR="004E401C">
        <w:rPr>
          <w:rFonts w:ascii="Times New Roman" w:eastAsia="Times New Roman" w:hAnsi="Times New Roman" w:cs="Times New Roman"/>
          <w:b/>
          <w:i/>
          <w:highlight w:val="white"/>
        </w:rPr>
        <w:t>comunicación y</w:t>
      </w:r>
      <w:r>
        <w:rPr>
          <w:rFonts w:ascii="Times New Roman" w:eastAsia="Times New Roman" w:hAnsi="Times New Roman" w:cs="Times New Roman"/>
          <w:b/>
          <w:i/>
          <w:highlight w:val="white"/>
        </w:rPr>
        <w:t xml:space="preserve"> confianza. </w:t>
      </w:r>
      <w:r>
        <w:rPr>
          <w:rFonts w:ascii="Times New Roman" w:eastAsia="Times New Roman" w:hAnsi="Times New Roman" w:cs="Times New Roman"/>
          <w:i/>
          <w:highlight w:val="white"/>
        </w:rPr>
        <w:t>Relacionamiento con transparencia y apertura a la pluralidad como principio del Estado Social de Derecho, en el que se genere intercambio abierto y per</w:t>
      </w:r>
      <w:r>
        <w:rPr>
          <w:rFonts w:ascii="Times New Roman" w:eastAsia="Times New Roman" w:hAnsi="Times New Roman" w:cs="Times New Roman"/>
          <w:i/>
          <w:highlight w:val="white"/>
        </w:rPr>
        <w:t>manente de información y de libertad de expresión con el fin de propender a la construcción de espacios de participación que fomenten el diálogo y la democracia participativa como principio universal y expansivo.</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b/>
          <w:i/>
          <w:highlight w:val="white"/>
        </w:rPr>
      </w:pPr>
      <w:r>
        <w:rPr>
          <w:rFonts w:ascii="Times New Roman" w:eastAsia="Times New Roman" w:hAnsi="Times New Roman" w:cs="Times New Roman"/>
          <w:b/>
          <w:i/>
          <w:highlight w:val="white"/>
        </w:rPr>
        <w:t>10.</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Respeto, protección y garantía de los d</w:t>
      </w:r>
      <w:r>
        <w:rPr>
          <w:rFonts w:ascii="Times New Roman" w:eastAsia="Times New Roman" w:hAnsi="Times New Roman" w:cs="Times New Roman"/>
          <w:b/>
          <w:i/>
          <w:highlight w:val="white"/>
        </w:rPr>
        <w:t xml:space="preserve">erechos humanos. </w:t>
      </w:r>
      <w:r>
        <w:rPr>
          <w:rFonts w:ascii="Times New Roman" w:eastAsia="Times New Roman" w:hAnsi="Times New Roman" w:cs="Times New Roman"/>
          <w:i/>
          <w:highlight w:val="white"/>
        </w:rPr>
        <w:t>La exploración y explotación del subsuelo y de los RNNR debe fundarse en el respeto, protección y garantía de los derechos humanos, desde las competencias del Estado, y sus entidades e instituciones, así como de los contratistas de concesi</w:t>
      </w:r>
      <w:r>
        <w:rPr>
          <w:rFonts w:ascii="Times New Roman" w:eastAsia="Times New Roman" w:hAnsi="Times New Roman" w:cs="Times New Roman"/>
          <w:i/>
          <w:highlight w:val="white"/>
        </w:rPr>
        <w:t>ones de hidrocarburos y minería, quienes deben en el marco de los postulados constitucionales cumplir con sus obligaciones en materia de empresas y derechos humanos en general.</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b/>
          <w:i/>
          <w:highlight w:val="white"/>
        </w:rPr>
        <w:t>11.</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 xml:space="preserve">Buena Fe. </w:t>
      </w:r>
      <w:r>
        <w:rPr>
          <w:rFonts w:ascii="Times New Roman" w:eastAsia="Times New Roman" w:hAnsi="Times New Roman" w:cs="Times New Roman"/>
          <w:i/>
          <w:highlight w:val="white"/>
        </w:rPr>
        <w:t>Debe regir</w:t>
      </w:r>
      <w:r>
        <w:rPr>
          <w:rFonts w:ascii="Times New Roman" w:eastAsia="Times New Roman" w:hAnsi="Times New Roman" w:cs="Times New Roman"/>
          <w:b/>
          <w:i/>
          <w:highlight w:val="white"/>
        </w:rPr>
        <w:t xml:space="preserve"> </w:t>
      </w:r>
      <w:r>
        <w:rPr>
          <w:rFonts w:ascii="Times New Roman" w:eastAsia="Times New Roman" w:hAnsi="Times New Roman" w:cs="Times New Roman"/>
          <w:i/>
          <w:highlight w:val="white"/>
        </w:rPr>
        <w:t>la participación, coordinación y concurrencia nación t</w:t>
      </w:r>
      <w:r>
        <w:rPr>
          <w:rFonts w:ascii="Times New Roman" w:eastAsia="Times New Roman" w:hAnsi="Times New Roman" w:cs="Times New Roman"/>
          <w:i/>
          <w:highlight w:val="white"/>
        </w:rPr>
        <w:t>erritorio, el diálogo y el relacionamiento de todas las partes, tanto de las entidades y autoridades públicas, las empresas contratistas de concesiones y las comunidades, ya sea directamente o a través de organizaciones sociales.</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highlight w:val="white"/>
        </w:rPr>
      </w:pPr>
      <w:r>
        <w:rPr>
          <w:rFonts w:ascii="Times New Roman" w:eastAsia="Times New Roman" w:hAnsi="Times New Roman" w:cs="Times New Roman"/>
          <w:b/>
          <w:i/>
          <w:highlight w:val="white"/>
        </w:rPr>
        <w:t>12.</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Coordinación y fortale</w:t>
      </w:r>
      <w:r>
        <w:rPr>
          <w:rFonts w:ascii="Times New Roman" w:eastAsia="Times New Roman" w:hAnsi="Times New Roman" w:cs="Times New Roman"/>
          <w:b/>
          <w:i/>
          <w:highlight w:val="white"/>
        </w:rPr>
        <w:t xml:space="preserve">cimiento de la capacidad institucional nacional y territorial. </w:t>
      </w:r>
      <w:r>
        <w:rPr>
          <w:rFonts w:ascii="Times New Roman" w:eastAsia="Times New Roman" w:hAnsi="Times New Roman" w:cs="Times New Roman"/>
          <w:i/>
          <w:highlight w:val="white"/>
        </w:rPr>
        <w:t>Fortalecimiento, coordinación, articulación  institucional nación territorio, y entre las instituciones y entidades de los mismos niveles de los sectores minero energético, ambiental y de inter</w:t>
      </w:r>
      <w:r>
        <w:rPr>
          <w:rFonts w:ascii="Times New Roman" w:eastAsia="Times New Roman" w:hAnsi="Times New Roman" w:cs="Times New Roman"/>
          <w:i/>
          <w:highlight w:val="white"/>
        </w:rPr>
        <w:t xml:space="preserve">ior, y aquellos otros que se requieran, con la finalidad de proteger los derechos humanos, orientarse hacia el desarrollo sostenible, el cuidado de los recursos naturales, la protección del ambiente y de las comunidades y población colombiana, mediante el </w:t>
      </w:r>
      <w:r>
        <w:rPr>
          <w:rFonts w:ascii="Times New Roman" w:eastAsia="Times New Roman" w:hAnsi="Times New Roman" w:cs="Times New Roman"/>
          <w:i/>
          <w:highlight w:val="white"/>
        </w:rPr>
        <w:t xml:space="preserve">estricto seguimiento coordinado y conjunto del cumplimiento de las obligaciones técnicas, ambientales, </w:t>
      </w:r>
      <w:r>
        <w:rPr>
          <w:rFonts w:ascii="Times New Roman" w:eastAsia="Times New Roman" w:hAnsi="Times New Roman" w:cs="Times New Roman"/>
          <w:i/>
          <w:highlight w:val="white"/>
        </w:rPr>
        <w:lastRenderedPageBreak/>
        <w:t xml:space="preserve">sociales, económicas, entre otras, de las actividades y operaciones de exploración y explotación del subsuelo y de los RNNR. </w:t>
      </w:r>
    </w:p>
    <w:p w:rsidR="00D53093" w:rsidRDefault="002331E2" w:rsidP="00632951">
      <w:pPr>
        <w:pBdr>
          <w:top w:val="none" w:sz="0" w:space="7" w:color="auto"/>
          <w:left w:val="none" w:sz="0" w:space="7" w:color="auto"/>
          <w:bottom w:val="none" w:sz="0" w:space="7" w:color="auto"/>
          <w:right w:val="none" w:sz="0" w:space="7" w:color="auto"/>
          <w:between w:val="none" w:sz="0" w:space="7" w:color="auto"/>
        </w:pBdr>
        <w:ind w:left="720" w:right="-60"/>
        <w:jc w:val="both"/>
        <w:rPr>
          <w:rFonts w:ascii="Times New Roman" w:eastAsia="Times New Roman" w:hAnsi="Times New Roman" w:cs="Times New Roman"/>
          <w:i/>
        </w:rPr>
      </w:pPr>
      <w:r>
        <w:rPr>
          <w:rFonts w:ascii="Times New Roman" w:eastAsia="Times New Roman" w:hAnsi="Times New Roman" w:cs="Times New Roman"/>
          <w:b/>
          <w:i/>
          <w:highlight w:val="white"/>
        </w:rPr>
        <w:t>13.</w:t>
      </w:r>
      <w:r>
        <w:rPr>
          <w:rFonts w:ascii="Times New Roman" w:eastAsia="Times New Roman" w:hAnsi="Times New Roman" w:cs="Times New Roman"/>
          <w:i/>
          <w:highlight w:val="white"/>
        </w:rPr>
        <w:t xml:space="preserve"> </w:t>
      </w:r>
      <w:r>
        <w:rPr>
          <w:rFonts w:ascii="Times New Roman" w:eastAsia="Times New Roman" w:hAnsi="Times New Roman" w:cs="Times New Roman"/>
          <w:b/>
          <w:i/>
          <w:highlight w:val="white"/>
        </w:rPr>
        <w:t xml:space="preserve">Sostenibilidad fiscal. </w:t>
      </w:r>
      <w:r>
        <w:rPr>
          <w:rFonts w:ascii="Times New Roman" w:eastAsia="Times New Roman" w:hAnsi="Times New Roman" w:cs="Times New Roman"/>
          <w:i/>
          <w:highlight w:val="white"/>
        </w:rPr>
        <w:t>Herramienta para la consecución progresiva del Estado Social y Democrático de Derecho teniendo en cuenta los ingresos generados por las actividades y operaciones de exploración y explotación del subsuelo y de los RNNR, que a través del Sistema General de R</w:t>
      </w:r>
      <w:r>
        <w:rPr>
          <w:rFonts w:ascii="Times New Roman" w:eastAsia="Times New Roman" w:hAnsi="Times New Roman" w:cs="Times New Roman"/>
          <w:i/>
          <w:highlight w:val="white"/>
        </w:rPr>
        <w:t>egalías promueve la equidad regional, la equidad social y la equidad para la defensa de la competitividad nacional</w:t>
      </w:r>
      <w:r>
        <w:rPr>
          <w:rFonts w:ascii="Times New Roman" w:eastAsia="Times New Roman" w:hAnsi="Times New Roman" w:cs="Times New Roman"/>
          <w:i/>
        </w:rPr>
        <w:t>”.</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Contenido de la Iniciativa</w:t>
      </w:r>
    </w:p>
    <w:p w:rsidR="00D53093" w:rsidRDefault="00D53093" w:rsidP="00632951">
      <w:pPr>
        <w:ind w:left="720"/>
        <w:jc w:val="both"/>
        <w:rPr>
          <w:rFonts w:ascii="Times New Roman" w:eastAsia="Times New Roman" w:hAnsi="Times New Roman" w:cs="Times New Roman"/>
          <w:sz w:val="24"/>
          <w:szCs w:val="24"/>
        </w:rPr>
      </w:pPr>
    </w:p>
    <w:p w:rsidR="00D53093" w:rsidRDefault="002331E2" w:rsidP="0063295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proyecto de ley consta de ocho (8) artículos, en los cuales se establece:</w:t>
      </w:r>
    </w:p>
    <w:p w:rsidR="00D53093" w:rsidRDefault="00D53093" w:rsidP="00632951">
      <w:pPr>
        <w:jc w:val="both"/>
        <w:rPr>
          <w:rFonts w:ascii="Times New Roman" w:eastAsia="Times New Roman" w:hAnsi="Times New Roman" w:cs="Times New Roman"/>
          <w:b/>
          <w:sz w:val="24"/>
          <w:szCs w:val="24"/>
        </w:rPr>
      </w:pPr>
    </w:p>
    <w:p w:rsidR="00D53093" w:rsidRDefault="002331E2" w:rsidP="00632951">
      <w:pPr>
        <w:spacing w:after="1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Pr>
          <w:rFonts w:ascii="Times New Roman" w:eastAsia="Times New Roman" w:hAnsi="Times New Roman" w:cs="Times New Roman"/>
          <w:sz w:val="24"/>
          <w:szCs w:val="24"/>
        </w:rPr>
        <w:t>El objetivo de esta iniciativa es crear mecanismos de participación ciudadana al interior del sector minero energético y establecer, a través del principio de concertación, los instrumentos de coordinación y concurrencia entre la nación y los municipios pa</w:t>
      </w:r>
      <w:r>
        <w:rPr>
          <w:rFonts w:ascii="Times New Roman" w:eastAsia="Times New Roman" w:hAnsi="Times New Roman" w:cs="Times New Roman"/>
          <w:sz w:val="24"/>
          <w:szCs w:val="24"/>
        </w:rPr>
        <w:t>ra la realización de actividades de exploración y explotación de recursos naturales no renovables en los municipios.</w:t>
      </w:r>
    </w:p>
    <w:p w:rsidR="00D53093" w:rsidRDefault="00D53093" w:rsidP="00632951">
      <w:pPr>
        <w:spacing w:after="160"/>
        <w:jc w:val="both"/>
        <w:rPr>
          <w:rFonts w:ascii="Times New Roman" w:eastAsia="Times New Roman" w:hAnsi="Times New Roman" w:cs="Times New Roman"/>
          <w:sz w:val="24"/>
          <w:szCs w:val="24"/>
        </w:rPr>
      </w:pP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b/>
          <w:i/>
          <w:sz w:val="24"/>
          <w:szCs w:val="24"/>
        </w:rPr>
        <w:t xml:space="preserve">Ámbito de aplicación. </w:t>
      </w:r>
      <w:r>
        <w:rPr>
          <w:rFonts w:ascii="Times New Roman" w:eastAsia="Times New Roman" w:hAnsi="Times New Roman" w:cs="Times New Roman"/>
          <w:sz w:val="24"/>
          <w:szCs w:val="24"/>
        </w:rPr>
        <w:t xml:space="preserve"> se establece que la presente ley regirá en todo el territorio nacional, en donde no se encuentren áreas</w:t>
      </w:r>
      <w:r>
        <w:rPr>
          <w:rFonts w:ascii="Times New Roman" w:eastAsia="Times New Roman" w:hAnsi="Times New Roman" w:cs="Times New Roman"/>
          <w:sz w:val="24"/>
          <w:szCs w:val="24"/>
        </w:rPr>
        <w:t xml:space="preserve"> excluidas o con restricciones de exploración y explotación de recursos naturales no renovables.</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3.</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Definiciones: </w:t>
      </w:r>
      <w:r>
        <w:rPr>
          <w:rFonts w:ascii="Times New Roman" w:eastAsia="Times New Roman" w:hAnsi="Times New Roman" w:cs="Times New Roman"/>
          <w:sz w:val="24"/>
          <w:szCs w:val="24"/>
        </w:rPr>
        <w:t>Para la aplicación de la presente Ley, se debe considerar las siguientes definiciones:</w:t>
      </w:r>
    </w:p>
    <w:p w:rsidR="00D53093" w:rsidRDefault="00D53093" w:rsidP="00632951">
      <w:pPr>
        <w:spacing w:before="240"/>
        <w:jc w:val="both"/>
        <w:rPr>
          <w:rFonts w:ascii="Times New Roman" w:eastAsia="Times New Roman" w:hAnsi="Times New Roman" w:cs="Times New Roman"/>
          <w:sz w:val="24"/>
          <w:szCs w:val="24"/>
        </w:rPr>
      </w:pPr>
      <w:bookmarkStart w:id="21" w:name="_1vwwseja7qld" w:colFirst="0" w:colLast="0"/>
      <w:bookmarkEnd w:id="21"/>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Coordinación:</w:t>
      </w:r>
      <w:r>
        <w:rPr>
          <w:rFonts w:ascii="Times New Roman" w:eastAsia="Times New Roman" w:hAnsi="Times New Roman" w:cs="Times New Roman"/>
          <w:sz w:val="24"/>
          <w:szCs w:val="24"/>
        </w:rPr>
        <w:t xml:space="preserve"> Es la exigencia de la ordenac</w:t>
      </w:r>
      <w:r>
        <w:rPr>
          <w:rFonts w:ascii="Times New Roman" w:eastAsia="Times New Roman" w:hAnsi="Times New Roman" w:cs="Times New Roman"/>
          <w:sz w:val="24"/>
          <w:szCs w:val="24"/>
        </w:rPr>
        <w:t>ión sistemática, coherente, eficiente y armónica de las actuaciones de los órganos estatales en todos los niveles territoriales para el logro de los fines del Estado</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Concurrencia:</w:t>
      </w:r>
      <w:r>
        <w:rPr>
          <w:rFonts w:ascii="Times New Roman" w:eastAsia="Times New Roman" w:hAnsi="Times New Roman" w:cs="Times New Roman"/>
          <w:sz w:val="24"/>
          <w:szCs w:val="24"/>
        </w:rPr>
        <w:t xml:space="preserve"> Es la exigencia de la participación conjunta de los distintos niveles terr</w:t>
      </w:r>
      <w:r>
        <w:rPr>
          <w:rFonts w:ascii="Times New Roman" w:eastAsia="Times New Roman" w:hAnsi="Times New Roman" w:cs="Times New Roman"/>
          <w:sz w:val="24"/>
          <w:szCs w:val="24"/>
        </w:rPr>
        <w:t>itoriales, cuando las instancias con menos cobertura sean insuficientes o incapaces de ejercerlas por sí solas, o cuando el asunto en cuestión trasciende el interés exclusivamente local o regional</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Subsidiariedad:</w:t>
      </w:r>
      <w:r>
        <w:rPr>
          <w:rFonts w:ascii="Times New Roman" w:eastAsia="Times New Roman" w:hAnsi="Times New Roman" w:cs="Times New Roman"/>
          <w:sz w:val="24"/>
          <w:szCs w:val="24"/>
        </w:rPr>
        <w:t xml:space="preserve"> Es la exigencia que los niveles territoria</w:t>
      </w:r>
      <w:r>
        <w:rPr>
          <w:rFonts w:ascii="Times New Roman" w:eastAsia="Times New Roman" w:hAnsi="Times New Roman" w:cs="Times New Roman"/>
          <w:sz w:val="24"/>
          <w:szCs w:val="24"/>
        </w:rPr>
        <w:t xml:space="preserve">les que más abarcan competencias asuman o apoyen, según el caso, de manera idónea y eficaz, las competencias y funciones de los demás niveles, cuando a partir de criterios objetivos carecen de la capacidad administrativa, </w:t>
      </w:r>
      <w:r>
        <w:rPr>
          <w:rFonts w:ascii="Times New Roman" w:eastAsia="Times New Roman" w:hAnsi="Times New Roman" w:cs="Times New Roman"/>
          <w:sz w:val="24"/>
          <w:szCs w:val="24"/>
        </w:rPr>
        <w:lastRenderedPageBreak/>
        <w:t xml:space="preserve">institucional o presupuestal para </w:t>
      </w:r>
      <w:r>
        <w:rPr>
          <w:rFonts w:ascii="Times New Roman" w:eastAsia="Times New Roman" w:hAnsi="Times New Roman" w:cs="Times New Roman"/>
          <w:sz w:val="24"/>
          <w:szCs w:val="24"/>
        </w:rPr>
        <w:t>ejercerlas adecuadamente. Al respecto la Corte se ha pronunciado en varias oportunidades precisando:</w:t>
      </w:r>
    </w:p>
    <w:p w:rsidR="00D53093" w:rsidRDefault="00D53093" w:rsidP="00632951">
      <w:pPr>
        <w:spacing w:before="240"/>
        <w:jc w:val="both"/>
        <w:rPr>
          <w:rFonts w:ascii="Times New Roman" w:eastAsia="Times New Roman" w:hAnsi="Times New Roman" w:cs="Times New Roman"/>
          <w:b/>
          <w:sz w:val="24"/>
          <w:szCs w:val="24"/>
        </w:rPr>
      </w:pPr>
    </w:p>
    <w:p w:rsidR="00D53093" w:rsidRDefault="002331E2" w:rsidP="00632951">
      <w:pPr>
        <w:spacing w:before="240"/>
        <w:jc w:val="both"/>
        <w:rPr>
          <w:rFonts w:ascii="Times New Roman" w:eastAsia="Times New Roman" w:hAnsi="Times New Roman" w:cs="Times New Roman"/>
          <w:b/>
          <w:sz w:val="24"/>
          <w:szCs w:val="24"/>
        </w:rPr>
      </w:pPr>
      <w:bookmarkStart w:id="22" w:name="_3l5cl9y99s3" w:colFirst="0" w:colLast="0"/>
      <w:bookmarkEnd w:id="22"/>
      <w:r>
        <w:rPr>
          <w:rFonts w:ascii="Times New Roman" w:eastAsia="Times New Roman" w:hAnsi="Times New Roman" w:cs="Times New Roman"/>
          <w:b/>
          <w:sz w:val="24"/>
          <w:szCs w:val="24"/>
        </w:rPr>
        <w:t xml:space="preserve">Concertación: </w:t>
      </w:r>
      <w:r>
        <w:rPr>
          <w:rFonts w:ascii="Times New Roman" w:eastAsia="Times New Roman" w:hAnsi="Times New Roman" w:cs="Times New Roman"/>
          <w:sz w:val="24"/>
          <w:szCs w:val="24"/>
        </w:rPr>
        <w:t>Es el procedimiento mediante el cual se garantizan los principios de coordinación y concurrencia para lograr un acuerdo entre la nación y lo</w:t>
      </w:r>
      <w:r>
        <w:rPr>
          <w:rFonts w:ascii="Times New Roman" w:eastAsia="Times New Roman" w:hAnsi="Times New Roman" w:cs="Times New Roman"/>
          <w:sz w:val="24"/>
          <w:szCs w:val="24"/>
        </w:rPr>
        <w:t>s municipios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en relación al desarrollo de actividades de exploración y explotación de recursos naturales no renovables.</w:t>
      </w:r>
      <w:r>
        <w:rPr>
          <w:rFonts w:ascii="Times New Roman" w:eastAsia="Times New Roman" w:hAnsi="Times New Roman" w:cs="Times New Roman"/>
          <w:b/>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2. </w:t>
      </w:r>
      <w:r>
        <w:rPr>
          <w:rFonts w:ascii="Times New Roman" w:eastAsia="Times New Roman" w:hAnsi="Times New Roman" w:cs="Times New Roman"/>
          <w:sz w:val="24"/>
          <w:szCs w:val="24"/>
        </w:rPr>
        <w:t>Se adoptan los principios en materia de concertación y concurrencia nación territorio para la exploración y explotación d</w:t>
      </w:r>
      <w:r>
        <w:rPr>
          <w:rFonts w:ascii="Times New Roman" w:eastAsia="Times New Roman" w:hAnsi="Times New Roman" w:cs="Times New Roman"/>
          <w:sz w:val="24"/>
          <w:szCs w:val="24"/>
        </w:rPr>
        <w:t xml:space="preserve">e recursos naturales no renovables de acuerdo a la jurisprudencia de la Sala Plena de la Corte Constitucional, en especial en la exhortación realizada al congreso para regular la materia en la sentencia de Unificación SU - 095 de </w:t>
      </w:r>
      <w:r w:rsidR="004E401C">
        <w:rPr>
          <w:rFonts w:ascii="Times New Roman" w:eastAsia="Times New Roman" w:hAnsi="Times New Roman" w:cs="Times New Roman"/>
          <w:sz w:val="24"/>
          <w:szCs w:val="24"/>
        </w:rPr>
        <w:t>2018.</w:t>
      </w:r>
    </w:p>
    <w:p w:rsidR="00D53093" w:rsidRDefault="002331E2" w:rsidP="00632951">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w:t>
      </w:r>
      <w:r>
        <w:rPr>
          <w:rFonts w:ascii="Times New Roman" w:eastAsia="Times New Roman" w:hAnsi="Times New Roman" w:cs="Times New Roman"/>
          <w:sz w:val="24"/>
          <w:szCs w:val="24"/>
        </w:rPr>
        <w:t>Se es</w:t>
      </w:r>
      <w:r>
        <w:rPr>
          <w:rFonts w:ascii="Times New Roman" w:eastAsia="Times New Roman" w:hAnsi="Times New Roman" w:cs="Times New Roman"/>
          <w:sz w:val="24"/>
          <w:szCs w:val="24"/>
        </w:rPr>
        <w:t>tablece mecanismos de participación</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en el cual se crean al interior del procedimiento para el otorgamiento de contratos de concesión mineros o de hidrocarburos, o sus equivalentes, los siguientes mecanismos de participación, sin perjuicio de aquellos cont</w:t>
      </w:r>
      <w:r>
        <w:rPr>
          <w:rFonts w:ascii="Times New Roman" w:eastAsia="Times New Roman" w:hAnsi="Times New Roman" w:cs="Times New Roman"/>
          <w:sz w:val="24"/>
          <w:szCs w:val="24"/>
        </w:rPr>
        <w:t>emplados en la Constitución Política de Colombia y la legislación nacional.</w:t>
      </w:r>
    </w:p>
    <w:p w:rsidR="00D53093" w:rsidRDefault="00D53093" w:rsidP="00632951">
      <w:pPr>
        <w:spacing w:before="240"/>
        <w:jc w:val="both"/>
        <w:rPr>
          <w:rFonts w:ascii="Times New Roman" w:eastAsia="Times New Roman" w:hAnsi="Times New Roman" w:cs="Times New Roman"/>
          <w:sz w:val="24"/>
          <w:szCs w:val="24"/>
        </w:rPr>
      </w:pPr>
      <w:bookmarkStart w:id="23" w:name="_81ap86t7ppdu" w:colFirst="0" w:colLast="0"/>
      <w:bookmarkEnd w:id="23"/>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w:t>
      </w:r>
      <w:r>
        <w:rPr>
          <w:rFonts w:ascii="Times New Roman" w:eastAsia="Times New Roman" w:hAnsi="Times New Roman" w:cs="Times New Roman"/>
          <w:sz w:val="24"/>
          <w:szCs w:val="24"/>
        </w:rPr>
        <w:t xml:space="preserve">Se establece un proceso de concertación general en el cual la Agencia Nacional de Minería, la Agencia Nacional de Hidrocarburos, el Ministerio de Minas y Energía, las </w:t>
      </w:r>
      <w:r>
        <w:rPr>
          <w:rFonts w:ascii="Times New Roman" w:eastAsia="Times New Roman" w:hAnsi="Times New Roman" w:cs="Times New Roman"/>
          <w:sz w:val="24"/>
          <w:szCs w:val="24"/>
        </w:rPr>
        <w:t>autoridades ambientales, la ciudadanía, el alcalde municipal o distrital y el concejo municipal o distrital, concertarán la identificación de las áreas en las que se proyecte realizar actividades de exploración y explotación minera y exploración y explotac</w:t>
      </w:r>
      <w:r>
        <w:rPr>
          <w:rFonts w:ascii="Times New Roman" w:eastAsia="Times New Roman" w:hAnsi="Times New Roman" w:cs="Times New Roman"/>
          <w:sz w:val="24"/>
          <w:szCs w:val="24"/>
        </w:rPr>
        <w:t>ión de hidrocarburos en su municipio o distrito, las cuales deberán incluirse en el Plan de Ordenamiento Territorial.</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artículo se establece un procedimiento detallado de concertación general.</w:t>
      </w:r>
    </w:p>
    <w:p w:rsidR="00D53093" w:rsidRDefault="00D53093" w:rsidP="00632951">
      <w:pPr>
        <w:spacing w:before="240"/>
        <w:jc w:val="both"/>
        <w:rPr>
          <w:rFonts w:ascii="Times New Roman" w:eastAsia="Times New Roman" w:hAnsi="Times New Roman" w:cs="Times New Roman"/>
          <w:sz w:val="24"/>
          <w:szCs w:val="24"/>
        </w:rPr>
      </w:pPr>
      <w:bookmarkStart w:id="24" w:name="_ejflp7s86yo1" w:colFirst="0" w:colLast="0"/>
      <w:bookmarkEnd w:id="24"/>
    </w:p>
    <w:p w:rsidR="00D53093" w:rsidRDefault="002331E2" w:rsidP="00632951">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5. </w:t>
      </w:r>
      <w:r>
        <w:rPr>
          <w:rFonts w:ascii="Times New Roman" w:eastAsia="Times New Roman" w:hAnsi="Times New Roman" w:cs="Times New Roman"/>
          <w:sz w:val="24"/>
          <w:szCs w:val="24"/>
        </w:rPr>
        <w:t>Se establece un proceso de concertación por</w:t>
      </w:r>
      <w:r>
        <w:rPr>
          <w:rFonts w:ascii="Times New Roman" w:eastAsia="Times New Roman" w:hAnsi="Times New Roman" w:cs="Times New Roman"/>
          <w:sz w:val="24"/>
          <w:szCs w:val="24"/>
        </w:rPr>
        <w:t xml:space="preserve"> proyecto, en donde una vez se conozca la intención de un particular de realizar actividades de exploración y explotación de recursos naturales no renovables, la Agencia Nacional de Minería o la Agencia Nacional de Hidrocarburos, en conjunto con el Ministe</w:t>
      </w:r>
      <w:r>
        <w:rPr>
          <w:rFonts w:ascii="Times New Roman" w:eastAsia="Times New Roman" w:hAnsi="Times New Roman" w:cs="Times New Roman"/>
          <w:sz w:val="24"/>
          <w:szCs w:val="24"/>
        </w:rPr>
        <w:t xml:space="preserve">rio de Minas y Energía, la ciudadanía, los alcaldes municipales o distritales, los concejos municipales o distritales, y la autoridad ambiental competente, concertarán la viabilidad social, ambiental y económica de realizarla. </w:t>
      </w:r>
      <w:r>
        <w:rPr>
          <w:rFonts w:ascii="Times New Roman" w:eastAsia="Times New Roman" w:hAnsi="Times New Roman" w:cs="Times New Roman"/>
          <w:b/>
          <w:sz w:val="24"/>
          <w:szCs w:val="24"/>
        </w:rPr>
        <w:t>En todos los casos el proceso</w:t>
      </w:r>
      <w:r>
        <w:rPr>
          <w:rFonts w:ascii="Times New Roman" w:eastAsia="Times New Roman" w:hAnsi="Times New Roman" w:cs="Times New Roman"/>
          <w:b/>
          <w:sz w:val="24"/>
          <w:szCs w:val="24"/>
        </w:rPr>
        <w:t xml:space="preserve"> de concertación será obligatorio.</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 este artículo se establece un procedimiento detallado de concertación por proyecto.</w:t>
      </w:r>
    </w:p>
    <w:p w:rsidR="00D53093" w:rsidRDefault="002331E2" w:rsidP="00632951">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w:t>
      </w:r>
      <w:r>
        <w:rPr>
          <w:rFonts w:ascii="Times New Roman" w:eastAsia="Times New Roman" w:hAnsi="Times New Roman" w:cs="Times New Roman"/>
          <w:sz w:val="24"/>
          <w:szCs w:val="24"/>
        </w:rPr>
        <w:t>Se establece que el componente general del Plan de Ordenamiento Territorial, de los Planes Básicos de Ordenamiento Ter</w:t>
      </w:r>
      <w:r>
        <w:rPr>
          <w:rFonts w:ascii="Times New Roman" w:eastAsia="Times New Roman" w:hAnsi="Times New Roman" w:cs="Times New Roman"/>
          <w:sz w:val="24"/>
          <w:szCs w:val="24"/>
        </w:rPr>
        <w:t>ritorial y de los Esquemas de Ordenamiento Territorial deberá contener la concertación sobre la identificación de las áreas en las que se proyecta realizar actividades mineras y de hidrocarburos.</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7°.</w:t>
      </w:r>
      <w:r>
        <w:rPr>
          <w:rFonts w:ascii="Times New Roman" w:eastAsia="Times New Roman" w:hAnsi="Times New Roman" w:cs="Times New Roman"/>
          <w:sz w:val="24"/>
          <w:szCs w:val="24"/>
        </w:rPr>
        <w:t xml:space="preserve"> Se establece que a partir de la entrada en vi</w:t>
      </w:r>
      <w:r>
        <w:rPr>
          <w:rFonts w:ascii="Times New Roman" w:eastAsia="Times New Roman" w:hAnsi="Times New Roman" w:cs="Times New Roman"/>
          <w:sz w:val="24"/>
          <w:szCs w:val="24"/>
        </w:rPr>
        <w:t>gencia de la presente ley, los Concejos municipales o distritales, por iniciativa del alcalde o de la Agencia Nacional de Minería, Agencia Nacional de Hidrocarburos o Ministerio de Minas y Energía, de manera excepcional, podrán revisar y ajustar por una ve</w:t>
      </w:r>
      <w:r>
        <w:rPr>
          <w:rFonts w:ascii="Times New Roman" w:eastAsia="Times New Roman" w:hAnsi="Times New Roman" w:cs="Times New Roman"/>
          <w:sz w:val="24"/>
          <w:szCs w:val="24"/>
        </w:rPr>
        <w:t>z los Planes de Ordenamiento Territorial, durante su periodo de vigencia, con el objeto de realizar la concertación minera y de hidrocarburos sobre la identificación de las áreas en las que se proyecta realizar  actividades de exploración y explotación min</w:t>
      </w:r>
      <w:r>
        <w:rPr>
          <w:rFonts w:ascii="Times New Roman" w:eastAsia="Times New Roman" w:hAnsi="Times New Roman" w:cs="Times New Roman"/>
          <w:sz w:val="24"/>
          <w:szCs w:val="24"/>
        </w:rPr>
        <w:t>era y de hidrocarburos en su jurisdicción.</w:t>
      </w:r>
    </w:p>
    <w:p w:rsidR="00D53093" w:rsidRDefault="00D53093" w:rsidP="00632951">
      <w:pPr>
        <w:spacing w:before="240"/>
        <w:jc w:val="both"/>
        <w:rPr>
          <w:rFonts w:ascii="Times New Roman" w:eastAsia="Times New Roman" w:hAnsi="Times New Roman" w:cs="Times New Roman"/>
          <w:b/>
          <w:sz w:val="24"/>
          <w:szCs w:val="24"/>
        </w:rPr>
      </w:pPr>
    </w:p>
    <w:p w:rsidR="00D53093" w:rsidRDefault="002331E2" w:rsidP="00632951">
      <w:pPr>
        <w:spacing w:before="240"/>
        <w:jc w:val="both"/>
        <w:rPr>
          <w:rFonts w:ascii="Times New Roman" w:eastAsia="Times New Roman" w:hAnsi="Times New Roman" w:cs="Times New Roman"/>
          <w:sz w:val="24"/>
          <w:szCs w:val="24"/>
        </w:rPr>
      </w:pPr>
      <w:bookmarkStart w:id="25" w:name="_8rfw4ns6egyo" w:colFirst="0" w:colLast="0"/>
      <w:bookmarkEnd w:id="25"/>
      <w:r>
        <w:rPr>
          <w:rFonts w:ascii="Times New Roman" w:eastAsia="Times New Roman" w:hAnsi="Times New Roman" w:cs="Times New Roman"/>
          <w:b/>
          <w:sz w:val="24"/>
          <w:szCs w:val="24"/>
        </w:rPr>
        <w:t>Artículo 8°.</w:t>
      </w:r>
      <w:r>
        <w:rPr>
          <w:rFonts w:ascii="Times New Roman" w:eastAsia="Times New Roman" w:hAnsi="Times New Roman" w:cs="Times New Roman"/>
          <w:sz w:val="24"/>
          <w:szCs w:val="24"/>
        </w:rPr>
        <w:t xml:space="preserve"> Se derogan las disposiciones que le sean contrarias y rige a partir de la fecha de su publicación.</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 los Honorables Congresistas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53093" w:rsidRDefault="002331E2" w:rsidP="0063295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rsidR="00D53093" w:rsidRDefault="002331E2" w:rsidP="00632951">
      <w:pPr>
        <w:jc w:val="both"/>
        <w:rPr>
          <w:rFonts w:ascii="Times New Roman" w:eastAsia="Times New Roman" w:hAnsi="Times New Roman" w:cs="Times New Roman"/>
          <w:sz w:val="24"/>
          <w:szCs w:val="24"/>
        </w:rPr>
      </w:pPr>
      <w:bookmarkStart w:id="26" w:name="_tnjndhefvbu9" w:colFirst="0" w:colLast="0"/>
      <w:bookmarkEnd w:id="26"/>
      <w:r>
        <w:rPr>
          <w:rFonts w:ascii="Times New Roman" w:eastAsia="Times New Roman" w:hAnsi="Times New Roman" w:cs="Times New Roman"/>
          <w:sz w:val="24"/>
          <w:szCs w:val="24"/>
        </w:rPr>
        <w:t xml:space="preserve">Senadora de la República                          </w:t>
      </w:r>
      <w:r>
        <w:rPr>
          <w:rFonts w:ascii="Times New Roman" w:eastAsia="Times New Roman" w:hAnsi="Times New Roman" w:cs="Times New Roman"/>
          <w:sz w:val="24"/>
          <w:szCs w:val="24"/>
        </w:rPr>
        <w:tab/>
      </w:r>
    </w:p>
    <w:p w:rsidR="00D53093" w:rsidRDefault="002331E2" w:rsidP="00632951">
      <w:pPr>
        <w:spacing w:after="1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Alianza Verde</w:t>
      </w:r>
    </w:p>
    <w:sectPr w:rsidR="00D53093">
      <w:headerReference w:type="default" r:id="rId9"/>
      <w:footerReference w:type="default" r:id="rId10"/>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1E2" w:rsidRDefault="002331E2">
      <w:pPr>
        <w:spacing w:line="240" w:lineRule="auto"/>
      </w:pPr>
      <w:r>
        <w:separator/>
      </w:r>
    </w:p>
  </w:endnote>
  <w:endnote w:type="continuationSeparator" w:id="0">
    <w:p w:rsidR="002331E2" w:rsidRDefault="002331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93" w:rsidRDefault="002331E2">
    <w:pPr>
      <w:widowControl w:val="0"/>
      <w:pBdr>
        <w:top w:val="none" w:sz="0" w:space="0" w:color="000000"/>
        <w:left w:val="none" w:sz="0" w:space="0" w:color="000000"/>
        <w:bottom w:val="none" w:sz="0" w:space="0" w:color="000000"/>
        <w:right w:val="none" w:sz="0" w:space="0" w:color="000000"/>
        <w:between w:val="none" w:sz="0" w:space="0" w:color="000000"/>
      </w:pBdr>
      <w:tabs>
        <w:tab w:val="center" w:pos="4252"/>
        <w:tab w:val="right" w:pos="8504"/>
      </w:tabs>
      <w:spacing w:line="240" w:lineRule="auto"/>
      <w:jc w:val="right"/>
      <w:rPr>
        <w:rFonts w:ascii="Helvetica Neue" w:eastAsia="Helvetica Neue" w:hAnsi="Helvetica Neue" w:cs="Helvetica Neue"/>
        <w:sz w:val="16"/>
        <w:szCs w:val="16"/>
      </w:rPr>
    </w:pPr>
    <w:r>
      <w:rPr>
        <w:noProof/>
        <w:lang w:val="es-CO"/>
      </w:rPr>
      <w:drawing>
        <wp:anchor distT="0" distB="0" distL="114300" distR="114300" simplePos="0" relativeHeight="251659264" behindDoc="0" locked="0" layoutInCell="1" hidden="0" allowOverlap="1">
          <wp:simplePos x="0" y="0"/>
          <wp:positionH relativeFrom="column">
            <wp:posOffset>971550</wp:posOffset>
          </wp:positionH>
          <wp:positionV relativeFrom="paragraph">
            <wp:posOffset>76200</wp:posOffset>
          </wp:positionV>
          <wp:extent cx="3414395" cy="29146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14395" cy="2914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1E2" w:rsidRDefault="002331E2">
      <w:pPr>
        <w:spacing w:line="240" w:lineRule="auto"/>
      </w:pPr>
      <w:r>
        <w:separator/>
      </w:r>
    </w:p>
  </w:footnote>
  <w:footnote w:type="continuationSeparator" w:id="0">
    <w:p w:rsidR="002331E2" w:rsidRDefault="002331E2">
      <w:pPr>
        <w:spacing w:line="240" w:lineRule="auto"/>
      </w:pPr>
      <w:r>
        <w:continuationSeparator/>
      </w:r>
    </w:p>
  </w:footnote>
  <w:footnote w:id="1">
    <w:p w:rsidR="00D53093" w:rsidRPr="00632951" w:rsidRDefault="002331E2">
      <w:pPr>
        <w:spacing w:line="240" w:lineRule="auto"/>
        <w:jc w:val="both"/>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http://ejatlas.org/</w:t>
      </w:r>
    </w:p>
  </w:footnote>
  <w:footnote w:id="2">
    <w:p w:rsidR="00D53093" w:rsidRPr="00632951" w:rsidRDefault="002331E2">
      <w:pPr>
        <w:spacing w:line="240" w:lineRule="auto"/>
        <w:jc w:val="both"/>
        <w:rPr>
          <w:rFonts w:ascii="Times New Roman" w:eastAsia="Calibri"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Helvetica Neue" w:hAnsi="Times New Roman" w:cs="Times New Roman"/>
          <w:sz w:val="18"/>
          <w:szCs w:val="18"/>
        </w:rPr>
        <w:t xml:space="preserve"> </w:t>
      </w:r>
      <w:r w:rsidRPr="00632951">
        <w:rPr>
          <w:rFonts w:ascii="Times New Roman" w:eastAsia="Times New Roman" w:hAnsi="Times New Roman" w:cs="Times New Roman"/>
          <w:sz w:val="18"/>
          <w:szCs w:val="18"/>
        </w:rPr>
        <w:t>Constitución Política de Colombia. Artículo 332.</w:t>
      </w:r>
      <w:r w:rsidRPr="00632951">
        <w:rPr>
          <w:rFonts w:ascii="Times New Roman" w:eastAsia="Calibri" w:hAnsi="Times New Roman" w:cs="Times New Roman"/>
          <w:sz w:val="18"/>
          <w:szCs w:val="18"/>
        </w:rPr>
        <w:t xml:space="preserve"> </w:t>
      </w:r>
    </w:p>
  </w:footnote>
  <w:footnote w:id="3">
    <w:p w:rsidR="00D53093" w:rsidRDefault="002331E2">
      <w:pPr>
        <w:spacing w:line="240" w:lineRule="auto"/>
        <w:jc w:val="both"/>
        <w:rPr>
          <w:rFonts w:ascii="Calibri" w:eastAsia="Calibri" w:hAnsi="Calibri" w:cs="Calibri"/>
          <w:sz w:val="20"/>
          <w:szCs w:val="20"/>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Constitución Política de Colombia. Artículo 311</w:t>
      </w:r>
      <w:r w:rsidRPr="00632951">
        <w:rPr>
          <w:rFonts w:ascii="Times New Roman" w:eastAsia="Helvetica Neue" w:hAnsi="Times New Roman" w:cs="Times New Roman"/>
          <w:sz w:val="18"/>
          <w:szCs w:val="18"/>
        </w:rPr>
        <w:t>.</w:t>
      </w:r>
      <w:r>
        <w:rPr>
          <w:rFonts w:ascii="Helvetica Neue" w:eastAsia="Helvetica Neue" w:hAnsi="Helvetica Neue" w:cs="Helvetica Neue"/>
          <w:sz w:val="16"/>
          <w:szCs w:val="16"/>
        </w:rPr>
        <w:t xml:space="preserve"> </w:t>
      </w:r>
    </w:p>
  </w:footnote>
  <w:footnote w:id="4">
    <w:p w:rsidR="00D53093" w:rsidRPr="00632951" w:rsidRDefault="002331E2">
      <w:pPr>
        <w:spacing w:line="240" w:lineRule="auto"/>
        <w:jc w:val="both"/>
        <w:rPr>
          <w:rFonts w:ascii="Times New Roman" w:eastAsia="Times New Roman" w:hAnsi="Times New Roman" w:cs="Times New Roman"/>
          <w:sz w:val="20"/>
          <w:szCs w:val="18"/>
        </w:rPr>
      </w:pPr>
      <w:r w:rsidRPr="00632951">
        <w:rPr>
          <w:rFonts w:ascii="Times New Roman" w:hAnsi="Times New Roman" w:cs="Times New Roman"/>
          <w:sz w:val="24"/>
          <w:vertAlign w:val="superscript"/>
        </w:rPr>
        <w:footnoteRef/>
      </w:r>
      <w:r w:rsidRPr="00632951">
        <w:rPr>
          <w:rFonts w:ascii="Times New Roman" w:eastAsia="Times New Roman" w:hAnsi="Times New Roman" w:cs="Times New Roman"/>
          <w:sz w:val="20"/>
          <w:szCs w:val="18"/>
        </w:rPr>
        <w:t xml:space="preserve"> En este sentido el artículo 70 de la Ley 685 de 2001 “Por la cual se expide el Código de Minas y se dictan otras disposiciones” establece “Duración total. El contrato de concesión se pactará por el térmi</w:t>
      </w:r>
      <w:r w:rsidRPr="00632951">
        <w:rPr>
          <w:rFonts w:ascii="Times New Roman" w:eastAsia="Times New Roman" w:hAnsi="Times New Roman" w:cs="Times New Roman"/>
          <w:sz w:val="20"/>
          <w:szCs w:val="18"/>
        </w:rPr>
        <w:t xml:space="preserve">no que solicite el proponente y hasta por un máximo de treinta (30) años. Dicha duración se contará desde la fecha de inscripción del contrato en el Registro Minero”. </w:t>
      </w:r>
    </w:p>
  </w:footnote>
  <w:footnote w:id="5">
    <w:p w:rsidR="00D53093" w:rsidRDefault="002331E2">
      <w:pPr>
        <w:spacing w:line="240" w:lineRule="auto"/>
        <w:jc w:val="both"/>
        <w:rPr>
          <w:rFonts w:ascii="Calibri" w:eastAsia="Calibri" w:hAnsi="Calibri" w:cs="Calibri"/>
          <w:sz w:val="20"/>
          <w:szCs w:val="20"/>
        </w:rPr>
      </w:pPr>
      <w:r w:rsidRPr="00632951">
        <w:rPr>
          <w:rFonts w:ascii="Times New Roman" w:hAnsi="Times New Roman" w:cs="Times New Roman"/>
          <w:sz w:val="24"/>
          <w:vertAlign w:val="superscript"/>
        </w:rPr>
        <w:footnoteRef/>
      </w:r>
      <w:r w:rsidRPr="00632951">
        <w:rPr>
          <w:rFonts w:ascii="Times New Roman" w:eastAsia="Times New Roman" w:hAnsi="Times New Roman" w:cs="Times New Roman"/>
          <w:sz w:val="20"/>
          <w:szCs w:val="18"/>
        </w:rPr>
        <w:t xml:space="preserve"> Ley 388 de 1997, Artículo 5°.</w:t>
      </w:r>
      <w:r w:rsidRPr="00632951">
        <w:rPr>
          <w:rFonts w:ascii="Helvetica Neue" w:eastAsia="Helvetica Neue" w:hAnsi="Helvetica Neue" w:cs="Helvetica Neue"/>
          <w:sz w:val="18"/>
          <w:szCs w:val="16"/>
        </w:rPr>
        <w:t xml:space="preserve"> </w:t>
      </w:r>
    </w:p>
  </w:footnote>
  <w:footnote w:id="6">
    <w:p w:rsidR="00D53093" w:rsidRPr="00632951" w:rsidRDefault="002331E2">
      <w:pPr>
        <w:spacing w:line="240" w:lineRule="auto"/>
        <w:jc w:val="both"/>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Ley 1454 de 2011 “Por la cual se dictan normas orgáni</w:t>
      </w:r>
      <w:r w:rsidRPr="00632951">
        <w:rPr>
          <w:rFonts w:ascii="Times New Roman" w:eastAsia="Times New Roman" w:hAnsi="Times New Roman" w:cs="Times New Roman"/>
          <w:sz w:val="18"/>
          <w:szCs w:val="18"/>
        </w:rPr>
        <w:t xml:space="preserve">cas sobre ordenamiento territorial y se modifican otras disposiciones”. Artículo 1. Objeto de la ley. </w:t>
      </w:r>
    </w:p>
  </w:footnote>
  <w:footnote w:id="7">
    <w:p w:rsidR="00D53093" w:rsidRDefault="002331E2">
      <w:pPr>
        <w:spacing w:line="240" w:lineRule="auto"/>
        <w:jc w:val="both"/>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Ley 1454 de 2011 “Por la cual se dictan normas orgánicas sobre ordenamiento territorial y se modifican otras disposiciones”. Artículo 2°. Concepto y fi</w:t>
      </w:r>
      <w:r w:rsidRPr="00632951">
        <w:rPr>
          <w:rFonts w:ascii="Times New Roman" w:eastAsia="Times New Roman" w:hAnsi="Times New Roman" w:cs="Times New Roman"/>
          <w:sz w:val="18"/>
          <w:szCs w:val="18"/>
        </w:rPr>
        <w:t>nalidad del ordenamiento territorial.</w:t>
      </w:r>
      <w:r>
        <w:rPr>
          <w:rFonts w:ascii="Times New Roman" w:eastAsia="Times New Roman" w:hAnsi="Times New Roman" w:cs="Times New Roman"/>
          <w:sz w:val="18"/>
          <w:szCs w:val="18"/>
        </w:rPr>
        <w:t xml:space="preserve"> </w:t>
      </w:r>
    </w:p>
  </w:footnote>
  <w:footnote w:id="8">
    <w:p w:rsidR="00D53093" w:rsidRPr="00632951" w:rsidRDefault="002331E2">
      <w:pPr>
        <w:spacing w:line="240" w:lineRule="auto"/>
        <w:jc w:val="both"/>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Calibri" w:hAnsi="Times New Roman" w:cs="Times New Roman"/>
          <w:sz w:val="18"/>
          <w:szCs w:val="18"/>
        </w:rPr>
        <w:t xml:space="preserve"> </w:t>
      </w:r>
      <w:r w:rsidRPr="00632951">
        <w:rPr>
          <w:rFonts w:ascii="Times New Roman" w:eastAsia="Times New Roman" w:hAnsi="Times New Roman" w:cs="Times New Roman"/>
          <w:sz w:val="18"/>
          <w:szCs w:val="18"/>
        </w:rPr>
        <w:t>Ley 1454 de 2011 “Por la cual se dictan normas orgánicas sobre ordenamiento territorial y se modifican otras disposiciones”. Artículo 2°. Concepto y finalidad del ordenamiento territorial.</w:t>
      </w:r>
    </w:p>
  </w:footnote>
  <w:footnote w:id="9">
    <w:p w:rsidR="00D53093" w:rsidRPr="00632951" w:rsidRDefault="002331E2">
      <w:pPr>
        <w:spacing w:line="240" w:lineRule="auto"/>
        <w:jc w:val="both"/>
        <w:rPr>
          <w:rFonts w:ascii="Times New Roman" w:eastAsia="Helvetica Neue"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Calibri" w:hAnsi="Times New Roman" w:cs="Times New Roman"/>
          <w:sz w:val="18"/>
          <w:szCs w:val="18"/>
        </w:rPr>
        <w:t xml:space="preserve"> </w:t>
      </w:r>
      <w:r w:rsidRPr="00632951">
        <w:rPr>
          <w:rFonts w:ascii="Times New Roman" w:eastAsia="Times New Roman" w:hAnsi="Times New Roman" w:cs="Times New Roman"/>
          <w:sz w:val="18"/>
          <w:szCs w:val="18"/>
        </w:rPr>
        <w:t>Ley 1454 de 2011 “Por la</w:t>
      </w:r>
      <w:r w:rsidRPr="00632951">
        <w:rPr>
          <w:rFonts w:ascii="Times New Roman" w:eastAsia="Times New Roman" w:hAnsi="Times New Roman" w:cs="Times New Roman"/>
          <w:sz w:val="18"/>
          <w:szCs w:val="18"/>
        </w:rPr>
        <w:t xml:space="preserve"> cual se dictan normas orgánicas sobre ordenamiento territorial y se modifican otras disposiciones”. Artículo 2°</w:t>
      </w:r>
      <w:r w:rsidRPr="00632951">
        <w:rPr>
          <w:rFonts w:ascii="Times New Roman" w:eastAsia="Helvetica Neue" w:hAnsi="Times New Roman" w:cs="Times New Roman"/>
          <w:sz w:val="18"/>
          <w:szCs w:val="18"/>
        </w:rPr>
        <w:t xml:space="preserve">. </w:t>
      </w:r>
    </w:p>
  </w:footnote>
  <w:footnote w:id="10">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Ley 1454 de 2011 “Por la cual se dictan normas orgánicas sobre ordenamiento territorial y se modifican otras disposiciones”. Artículo 3°.</w:t>
      </w:r>
    </w:p>
  </w:footnote>
  <w:footnote w:id="11">
    <w:p w:rsidR="00D53093"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Ibíd. </w:t>
      </w:r>
    </w:p>
  </w:footnote>
  <w:footnote w:id="12">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Fundación Foro Nacional por Colombia (2013). La Normativa Minera en Colombia. </w:t>
      </w:r>
      <w:r w:rsidR="004E401C" w:rsidRPr="00632951">
        <w:rPr>
          <w:rFonts w:ascii="Times New Roman" w:eastAsia="Times New Roman" w:hAnsi="Times New Roman" w:cs="Times New Roman"/>
          <w:sz w:val="18"/>
          <w:szCs w:val="18"/>
        </w:rPr>
        <w:t>Bogotá.</w:t>
      </w:r>
    </w:p>
  </w:footnote>
  <w:footnote w:id="13">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Según Mining Watch </w:t>
      </w:r>
      <w:r w:rsidR="004E401C" w:rsidRPr="00632951">
        <w:rPr>
          <w:rFonts w:ascii="Times New Roman" w:eastAsia="Times New Roman" w:hAnsi="Times New Roman" w:cs="Times New Roman"/>
          <w:sz w:val="18"/>
          <w:szCs w:val="18"/>
        </w:rPr>
        <w:t>Canadá</w:t>
      </w:r>
      <w:r w:rsidRPr="00632951">
        <w:rPr>
          <w:rFonts w:ascii="Times New Roman" w:eastAsia="Times New Roman" w:hAnsi="Times New Roman" w:cs="Times New Roman"/>
          <w:sz w:val="18"/>
          <w:szCs w:val="18"/>
        </w:rPr>
        <w:t xml:space="preserve"> y CENSAT (2009), éstas fueron: HOLCIM, CEMEX y Ladrillera Santafé.</w:t>
      </w:r>
    </w:p>
  </w:footnote>
  <w:footnote w:id="14">
    <w:p w:rsidR="00D53093" w:rsidRPr="00632951" w:rsidRDefault="002331E2">
      <w:pPr>
        <w:spacing w:line="240" w:lineRule="auto"/>
        <w:jc w:val="both"/>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Fierro M, J. (2012). “Pol</w:t>
      </w:r>
      <w:r w:rsidRPr="00632951">
        <w:rPr>
          <w:rFonts w:ascii="Times New Roman" w:eastAsia="Times New Roman" w:hAnsi="Times New Roman" w:cs="Times New Roman"/>
          <w:sz w:val="18"/>
          <w:szCs w:val="18"/>
        </w:rPr>
        <w:t>íticas mineras en Colombia”, Instituto Latinoamericano para una Sociedad y un Derecho Alternativos – ILSA, con el auspicio del Comité Catholique contre la faim et pour le développement - CCFD Terre Solidaire, Digiprint Editores EU, Colombia.</w:t>
      </w:r>
    </w:p>
  </w:footnote>
  <w:footnote w:id="15">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hAnsi="Times New Roman" w:cs="Times New Roman"/>
          <w:sz w:val="18"/>
          <w:szCs w:val="18"/>
        </w:rPr>
        <w:t xml:space="preserve"> </w:t>
      </w:r>
      <w:r w:rsidRPr="00632951">
        <w:rPr>
          <w:rFonts w:ascii="Times New Roman" w:eastAsia="Times New Roman" w:hAnsi="Times New Roman" w:cs="Times New Roman"/>
          <w:sz w:val="18"/>
          <w:szCs w:val="18"/>
        </w:rPr>
        <w:t>Fundación Fo</w:t>
      </w:r>
      <w:r w:rsidRPr="00632951">
        <w:rPr>
          <w:rFonts w:ascii="Times New Roman" w:eastAsia="Times New Roman" w:hAnsi="Times New Roman" w:cs="Times New Roman"/>
          <w:sz w:val="18"/>
          <w:szCs w:val="18"/>
        </w:rPr>
        <w:t xml:space="preserve">ro Nacional por Colombia (2013). La Normativa Minera en Colombia. </w:t>
      </w:r>
      <w:r w:rsidR="004E401C" w:rsidRPr="00632951">
        <w:rPr>
          <w:rFonts w:ascii="Times New Roman" w:eastAsia="Times New Roman" w:hAnsi="Times New Roman" w:cs="Times New Roman"/>
          <w:sz w:val="18"/>
          <w:szCs w:val="18"/>
        </w:rPr>
        <w:t>Bogotá.</w:t>
      </w:r>
    </w:p>
  </w:footnote>
  <w:footnote w:id="16">
    <w:p w:rsidR="00D53093"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Corte Constitucional. Sentencia C-395 de 2012.</w:t>
      </w:r>
      <w:r>
        <w:rPr>
          <w:rFonts w:ascii="Times New Roman" w:eastAsia="Times New Roman" w:hAnsi="Times New Roman" w:cs="Times New Roman"/>
          <w:sz w:val="18"/>
          <w:szCs w:val="18"/>
        </w:rPr>
        <w:t xml:space="preserve"> </w:t>
      </w:r>
    </w:p>
  </w:footnote>
  <w:footnote w:id="17">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Corte Constitucional. Sentencia C-123 de 2014. </w:t>
      </w:r>
    </w:p>
  </w:footnote>
  <w:footnote w:id="18">
    <w:p w:rsidR="00D53093"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Ibíd.</w:t>
      </w:r>
      <w:r>
        <w:rPr>
          <w:rFonts w:ascii="Times New Roman" w:eastAsia="Times New Roman" w:hAnsi="Times New Roman" w:cs="Times New Roman"/>
          <w:sz w:val="18"/>
          <w:szCs w:val="18"/>
        </w:rPr>
        <w:t xml:space="preserve"> </w:t>
      </w:r>
    </w:p>
  </w:footnote>
  <w:footnote w:id="19">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Corte Constitucional. Sentencia C-035 de 2016. </w:t>
      </w:r>
    </w:p>
  </w:footnote>
  <w:footnote w:id="20">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Ibíd. </w:t>
      </w:r>
    </w:p>
  </w:footnote>
  <w:footnote w:id="21">
    <w:p w:rsidR="00D53093"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Helvetica Neue" w:hAnsi="Times New Roman" w:cs="Times New Roman"/>
          <w:sz w:val="18"/>
          <w:szCs w:val="18"/>
        </w:rPr>
        <w:t xml:space="preserve"> </w:t>
      </w:r>
      <w:r w:rsidRPr="00632951">
        <w:rPr>
          <w:rFonts w:ascii="Times New Roman" w:eastAsia="Times New Roman" w:hAnsi="Times New Roman" w:cs="Times New Roman"/>
          <w:sz w:val="18"/>
          <w:szCs w:val="18"/>
        </w:rPr>
        <w:t>Ibíd.</w:t>
      </w:r>
    </w:p>
  </w:footnote>
  <w:footnote w:id="22">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Helvetica Neue" w:hAnsi="Times New Roman" w:cs="Times New Roman"/>
          <w:sz w:val="18"/>
          <w:szCs w:val="18"/>
        </w:rPr>
        <w:t xml:space="preserve"> </w:t>
      </w:r>
      <w:r w:rsidRPr="00632951">
        <w:rPr>
          <w:rFonts w:ascii="Times New Roman" w:eastAsia="Times New Roman" w:hAnsi="Times New Roman" w:cs="Times New Roman"/>
          <w:sz w:val="18"/>
          <w:szCs w:val="18"/>
        </w:rPr>
        <w:t xml:space="preserve">Corte Constitucional. Sentencia C-273 de 2016. </w:t>
      </w:r>
    </w:p>
  </w:footnote>
  <w:footnote w:id="23">
    <w:p w:rsidR="00D53093"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Ibíd.</w:t>
      </w:r>
      <w:r>
        <w:rPr>
          <w:rFonts w:ascii="Times New Roman" w:eastAsia="Times New Roman" w:hAnsi="Times New Roman" w:cs="Times New Roman"/>
          <w:sz w:val="18"/>
          <w:szCs w:val="18"/>
        </w:rPr>
        <w:t xml:space="preserve"> </w:t>
      </w:r>
    </w:p>
  </w:footnote>
  <w:footnote w:id="24">
    <w:p w:rsidR="00D53093" w:rsidRPr="00632951" w:rsidRDefault="002331E2">
      <w:pPr>
        <w:spacing w:line="240" w:lineRule="auto"/>
        <w:rPr>
          <w:rFonts w:ascii="Times New Roman" w:eastAsia="Times New Roman" w:hAnsi="Times New Roman" w:cs="Times New Roman"/>
          <w:sz w:val="18"/>
          <w:szCs w:val="18"/>
        </w:rPr>
      </w:pPr>
      <w:r w:rsidRPr="00632951">
        <w:rPr>
          <w:rFonts w:ascii="Times New Roman" w:hAnsi="Times New Roman" w:cs="Times New Roman"/>
          <w:sz w:val="18"/>
          <w:szCs w:val="18"/>
          <w:vertAlign w:val="superscript"/>
        </w:rPr>
        <w:footnoteRef/>
      </w:r>
      <w:r w:rsidRPr="00632951">
        <w:rPr>
          <w:rFonts w:ascii="Times New Roman" w:eastAsia="Times New Roman" w:hAnsi="Times New Roman" w:cs="Times New Roman"/>
          <w:sz w:val="18"/>
          <w:szCs w:val="18"/>
        </w:rPr>
        <w:t xml:space="preserve"> Ibíd.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93" w:rsidRDefault="002331E2">
    <w:pPr>
      <w:tabs>
        <w:tab w:val="center" w:pos="4419"/>
        <w:tab w:val="right" w:pos="8838"/>
      </w:tabs>
      <w:spacing w:line="240" w:lineRule="auto"/>
      <w:jc w:val="center"/>
      <w:rPr>
        <w:rFonts w:ascii="Calibri" w:eastAsia="Calibri" w:hAnsi="Calibri" w:cs="Calibri"/>
      </w:rPr>
    </w:pPr>
    <w:r>
      <w:rPr>
        <w:noProof/>
        <w:lang w:val="es-CO"/>
      </w:rPr>
      <w:drawing>
        <wp:anchor distT="0" distB="0" distL="0" distR="0" simplePos="0" relativeHeight="251658240" behindDoc="0" locked="0" layoutInCell="1" hidden="0" allowOverlap="1">
          <wp:simplePos x="0" y="0"/>
          <wp:positionH relativeFrom="column">
            <wp:posOffset>1609725</wp:posOffset>
          </wp:positionH>
          <wp:positionV relativeFrom="paragraph">
            <wp:posOffset>152400</wp:posOffset>
          </wp:positionV>
          <wp:extent cx="2599581" cy="764582"/>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99581" cy="764582"/>
                  </a:xfrm>
                  <a:prstGeom prst="rect">
                    <a:avLst/>
                  </a:prstGeom>
                  <a:ln/>
                </pic:spPr>
              </pic:pic>
            </a:graphicData>
          </a:graphic>
        </wp:anchor>
      </w:drawing>
    </w:r>
  </w:p>
  <w:p w:rsidR="00D53093" w:rsidRDefault="00D53093">
    <w:pPr>
      <w:tabs>
        <w:tab w:val="center" w:pos="4419"/>
        <w:tab w:val="right" w:pos="8838"/>
      </w:tabs>
      <w:spacing w:line="240" w:lineRule="auto"/>
      <w:jc w:val="center"/>
      <w:rPr>
        <w:rFonts w:ascii="Calibri" w:eastAsia="Calibri" w:hAnsi="Calibri" w:cs="Calibri"/>
      </w:rPr>
    </w:pPr>
  </w:p>
  <w:p w:rsidR="00D53093" w:rsidRDefault="00D53093">
    <w:pPr>
      <w:tabs>
        <w:tab w:val="center" w:pos="4419"/>
        <w:tab w:val="right" w:pos="8838"/>
      </w:tabs>
      <w:spacing w:line="240" w:lineRule="auto"/>
      <w:jc w:val="center"/>
      <w:rPr>
        <w:rFonts w:ascii="Calibri" w:eastAsia="Calibri" w:hAnsi="Calibri" w:cs="Calibri"/>
      </w:rPr>
    </w:pPr>
  </w:p>
  <w:p w:rsidR="00D53093" w:rsidRDefault="00D53093">
    <w:pPr>
      <w:tabs>
        <w:tab w:val="center" w:pos="4419"/>
        <w:tab w:val="right" w:pos="8838"/>
      </w:tabs>
      <w:spacing w:line="240" w:lineRule="auto"/>
      <w:jc w:val="center"/>
      <w:rPr>
        <w:rFonts w:ascii="Calibri" w:eastAsia="Calibri" w:hAnsi="Calibri" w:cs="Calibri"/>
      </w:rPr>
    </w:pPr>
  </w:p>
  <w:p w:rsidR="00D53093" w:rsidRDefault="00D53093">
    <w:pPr>
      <w:tabs>
        <w:tab w:val="center" w:pos="4419"/>
        <w:tab w:val="right" w:pos="8838"/>
      </w:tabs>
      <w:spacing w:line="240" w:lineRule="auto"/>
      <w:jc w:val="center"/>
      <w:rPr>
        <w:rFonts w:ascii="Calibri" w:eastAsia="Calibri" w:hAnsi="Calibri" w:cs="Calibri"/>
      </w:rPr>
    </w:pPr>
  </w:p>
  <w:p w:rsidR="00D53093" w:rsidRDefault="00D53093">
    <w:pPr>
      <w:tabs>
        <w:tab w:val="center" w:pos="4419"/>
        <w:tab w:val="right" w:pos="8838"/>
      </w:tabs>
      <w:spacing w:line="240" w:lineRule="auto"/>
      <w:jc w:val="center"/>
      <w:rPr>
        <w:rFonts w:ascii="Calibri" w:eastAsia="Calibri" w:hAnsi="Calibri" w:cs="Calibr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434CE"/>
    <w:multiLevelType w:val="multilevel"/>
    <w:tmpl w:val="040474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63E511BE"/>
    <w:multiLevelType w:val="multilevel"/>
    <w:tmpl w:val="BB1234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93"/>
    <w:rsid w:val="00192CD5"/>
    <w:rsid w:val="002331E2"/>
    <w:rsid w:val="004E401C"/>
    <w:rsid w:val="00632951"/>
    <w:rsid w:val="00D530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7E18"/>
  <w15:docId w15:val="{BF596F48-C491-4711-93B7-BF7D0100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8/SU095-18.htm" TargetMode="External"/><Relationship Id="rId3" Type="http://schemas.openxmlformats.org/officeDocument/2006/relationships/settings" Target="settings.xml"/><Relationship Id="rId7" Type="http://schemas.openxmlformats.org/officeDocument/2006/relationships/hyperlink" Target="http://www.corteconstitucional.gov.co/relatoria/2018/SU095-1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10333</Words>
  <Characters>56835</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Acosta Peñaloza</dc:creator>
  <cp:lastModifiedBy>Juan Pablo Acosta Peñaloza</cp:lastModifiedBy>
  <cp:revision>2</cp:revision>
  <dcterms:created xsi:type="dcterms:W3CDTF">2019-07-22T20:40:00Z</dcterms:created>
  <dcterms:modified xsi:type="dcterms:W3CDTF">2019-07-22T20:40:00Z</dcterms:modified>
</cp:coreProperties>
</file>